
<file path=[Content_Types].xml><?xml version="1.0" encoding="utf-8"?>
<Types xmlns="http://schemas.openxmlformats.org/package/2006/content-types">
  <Default Extension="xml" ContentType="application/xml"/>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360"/>
        <w:rPr>
          <w:rFonts w:ascii="Arial" w:cs="Arial" w:hAnsi="Arial"/>
          <w:b/>
          <w:sz w:val="28"/>
        </w:rPr>
      </w:pPr>
      <w:r>
        <w:rPr>
          <w:rFonts w:ascii="Arial" w:cs="Arial" w:eastAsia="Calibri" w:hAnsi="Arial"/>
          <w:b/>
          <w:sz w:val="20"/>
          <w:szCs w:val="20"/>
        </w:rPr>
        <w:t>TÍTULO:</w:t>
      </w:r>
      <w:r>
        <w:rPr>
          <w:rFonts w:ascii="Arial" w:cs="Arial" w:hAnsi="Arial"/>
          <w:b/>
          <w:sz w:val="28"/>
        </w:rPr>
        <w:t xml:space="preserve"> </w:t>
      </w:r>
      <w:bookmarkStart w:id="0" w:name="_GoBack"/>
      <w:r>
        <w:rPr>
          <w:rFonts w:ascii="Arial" w:cs="Arial" w:hAnsi="Arial"/>
          <w:b/>
          <w:sz w:val="28"/>
        </w:rPr>
        <w:t>“Intervención Educativa sobre Factores de Riesgo</w:t>
      </w:r>
    </w:p>
    <w:p>
      <w:pPr>
        <w:pStyle w:val="style0"/>
        <w:spacing w:lineRule="auto" w:line="360"/>
        <w:rPr>
          <w:rFonts w:ascii="Arial" w:cs="Arial" w:hAnsi="Arial"/>
          <w:b/>
          <w:sz w:val="28"/>
        </w:rPr>
      </w:pPr>
      <w:r>
        <w:rPr>
          <w:rFonts w:ascii="Arial" w:cs="Arial" w:hAnsi="Arial"/>
          <w:b/>
          <w:sz w:val="28"/>
        </w:rPr>
        <w:t xml:space="preserve"> Coronarios en adultos”</w:t>
      </w:r>
    </w:p>
    <w:bookmarkEnd w:id="0"/>
    <w:p>
      <w:pPr>
        <w:pStyle w:val="style0"/>
        <w:rPr/>
      </w:pPr>
    </w:p>
    <w:p>
      <w:pPr>
        <w:pStyle w:val="style0"/>
        <w:spacing w:after="200" w:lineRule="auto" w:line="276"/>
        <w:rPr>
          <w:rFonts w:ascii="Arial" w:cs="Arial" w:eastAsia="Verdana" w:hAnsi="Arial"/>
          <w:sz w:val="20"/>
          <w:szCs w:val="20"/>
          <w:vertAlign w:val="superscript"/>
          <w:lang w:val="es-VE" w:eastAsia="en-US"/>
        </w:rPr>
      </w:pPr>
      <w:r>
        <w:rPr>
          <w:rFonts w:ascii="Arial" w:cs="Arial" w:eastAsia="Verdana" w:hAnsi="Arial"/>
          <w:sz w:val="20"/>
          <w:szCs w:val="20"/>
          <w:lang w:val="es-VE" w:eastAsia="en-US"/>
        </w:rPr>
        <w:t xml:space="preserve">Autores: </w:t>
      </w:r>
      <w:r>
        <w:rPr>
          <w:rFonts w:ascii="Arial" w:cs="Arial" w:eastAsia="Verdana" w:hAnsi="Arial"/>
          <w:sz w:val="20"/>
          <w:szCs w:val="20"/>
          <w:lang w:val="es-VE" w:eastAsia="en-US"/>
        </w:rPr>
        <w:t>Loreta</w:t>
      </w:r>
      <w:r>
        <w:rPr>
          <w:rFonts w:ascii="Arial" w:cs="Arial" w:eastAsia="Verdana" w:hAnsi="Arial"/>
          <w:sz w:val="20"/>
          <w:szCs w:val="20"/>
          <w:lang w:val="es-VE" w:eastAsia="en-US"/>
        </w:rPr>
        <w:t xml:space="preserve"> de la Caridad Serra Parra</w:t>
      </w:r>
      <w:r>
        <w:rPr>
          <w:rFonts w:ascii="Arial" w:cs="Arial" w:eastAsia="Verdana" w:hAnsi="Arial"/>
          <w:sz w:val="20"/>
          <w:szCs w:val="20"/>
          <w:vertAlign w:val="superscript"/>
          <w:lang w:val="es-VE" w:eastAsia="en-US"/>
        </w:rPr>
        <w:t xml:space="preserve">1. </w:t>
      </w:r>
      <w:r>
        <w:rPr>
          <w:rFonts w:ascii="Arial" w:cs="Arial" w:eastAsia="Verdana" w:hAnsi="Arial"/>
          <w:sz w:val="20"/>
          <w:szCs w:val="20"/>
          <w:lang w:val="es-VE" w:eastAsia="en-US"/>
        </w:rPr>
        <w:t>Ceida</w:t>
      </w:r>
      <w:r>
        <w:rPr>
          <w:rFonts w:ascii="Arial" w:cs="Arial" w:eastAsia="Verdana" w:hAnsi="Arial"/>
          <w:sz w:val="20"/>
          <w:szCs w:val="20"/>
          <w:lang w:val="es-VE" w:eastAsia="en-US"/>
        </w:rPr>
        <w:t xml:space="preserve">  Parra Hijuelos</w:t>
      </w:r>
      <w:r>
        <w:rPr>
          <w:rFonts w:ascii="Arial" w:cs="Arial" w:eastAsia="Verdana" w:hAnsi="Arial"/>
          <w:sz w:val="20"/>
          <w:szCs w:val="20"/>
          <w:vertAlign w:val="superscript"/>
          <w:lang w:val="es-VE" w:eastAsia="en-US"/>
        </w:rPr>
        <w:t>2</w:t>
      </w:r>
      <w:r>
        <w:rPr>
          <w:rFonts w:ascii="Arial" w:cs="Arial" w:eastAsia="Verdana" w:hAnsi="Arial"/>
          <w:sz w:val="20"/>
          <w:szCs w:val="20"/>
          <w:lang w:val="es-VE" w:eastAsia="en-US"/>
        </w:rPr>
        <w:t xml:space="preserve"> .Emilio Serra Hernandez</w:t>
      </w:r>
      <w:r>
        <w:rPr>
          <w:rFonts w:ascii="Arial" w:cs="Arial" w:eastAsia="Verdana" w:hAnsi="Arial"/>
          <w:sz w:val="20"/>
          <w:szCs w:val="20"/>
          <w:vertAlign w:val="superscript"/>
          <w:lang w:val="es-VE" w:eastAsia="en-US"/>
        </w:rPr>
        <w:t>3.</w:t>
      </w:r>
    </w:p>
    <w:p>
      <w:pPr>
        <w:pStyle w:val="style0"/>
        <w:suppressAutoHyphens/>
        <w:spacing w:after="160" w:lineRule="auto" w:line="256"/>
        <w:rPr>
          <w:rFonts w:ascii="Arial" w:cs="Arial" w:eastAsia="Verdana" w:hAnsi="Arial"/>
          <w:sz w:val="20"/>
          <w:szCs w:val="20"/>
          <w:vertAlign w:val="superscript"/>
          <w:lang w:val="es-VE" w:eastAsia="en-US"/>
        </w:rPr>
      </w:pPr>
      <w:r>
        <w:rPr>
          <w:rFonts w:ascii="Arial" w:cs="Arial" w:eastAsia="Verdana" w:hAnsi="Arial"/>
          <w:sz w:val="20"/>
          <w:szCs w:val="20"/>
          <w:vertAlign w:val="superscript"/>
          <w:lang w:val="es-VE" w:eastAsia="en-US"/>
        </w:rPr>
        <w:t xml:space="preserve">1.-Estudiante de medicina 6 </w:t>
      </w:r>
      <w:r>
        <w:rPr>
          <w:rFonts w:ascii="Arial" w:cs="Arial" w:eastAsia="Verdana" w:hAnsi="Arial"/>
          <w:sz w:val="20"/>
          <w:szCs w:val="20"/>
          <w:vertAlign w:val="superscript"/>
          <w:lang w:val="es-VE" w:eastAsia="en-US"/>
        </w:rPr>
        <w:t>to</w:t>
      </w:r>
      <w:r>
        <w:rPr>
          <w:rFonts w:ascii="Arial" w:cs="Arial" w:eastAsia="Verdana" w:hAnsi="Arial"/>
          <w:sz w:val="20"/>
          <w:szCs w:val="20"/>
          <w:vertAlign w:val="superscript"/>
          <w:lang w:val="es-VE" w:eastAsia="en-US"/>
        </w:rPr>
        <w:t xml:space="preserve"> año </w:t>
      </w:r>
    </w:p>
    <w:p>
      <w:pPr>
        <w:pStyle w:val="style0"/>
        <w:spacing w:lineRule="auto" w:line="360"/>
        <w:jc w:val="both"/>
        <w:rPr>
          <w:rFonts w:ascii="Arial" w:cs="Arial" w:eastAsia="Verdana" w:hAnsi="Arial"/>
          <w:sz w:val="20"/>
          <w:szCs w:val="20"/>
        </w:rPr>
      </w:pPr>
      <w:r>
        <w:rPr>
          <w:rFonts w:ascii="Arial" w:cs="Arial" w:eastAsia="Verdana" w:hAnsi="Arial"/>
          <w:sz w:val="20"/>
          <w:szCs w:val="20"/>
          <w:vertAlign w:val="superscript"/>
          <w:lang w:val="es-VE" w:eastAsia="en-US"/>
        </w:rPr>
        <w:t>2-</w:t>
      </w:r>
      <w:r>
        <w:rPr>
          <w:rFonts w:ascii="Arial" w:cs="Arial" w:eastAsia="Verdana" w:hAnsi="Arial"/>
          <w:sz w:val="20"/>
          <w:szCs w:val="20"/>
        </w:rPr>
        <w:t xml:space="preserve"> Especialista de 2do grado en MGI Profesor Auxiliar. Universidad de Ciencias Médicas de Holguín.</w:t>
      </w:r>
    </w:p>
    <w:p>
      <w:pPr>
        <w:pStyle w:val="style0"/>
        <w:spacing w:lineRule="auto" w:line="360"/>
        <w:jc w:val="both"/>
        <w:rPr>
          <w:rFonts w:ascii="Arial" w:cs="Arial" w:eastAsia="Verdana" w:hAnsi="Arial"/>
          <w:sz w:val="20"/>
          <w:szCs w:val="20"/>
        </w:rPr>
      </w:pPr>
      <w:r>
        <w:rPr>
          <w:rFonts w:ascii="Arial" w:cs="Arial" w:eastAsia="Verdana" w:hAnsi="Arial"/>
          <w:sz w:val="20"/>
          <w:szCs w:val="20"/>
          <w:lang w:val="es-VE"/>
        </w:rPr>
        <w:t>3</w:t>
      </w:r>
      <w:r>
        <w:rPr>
          <w:rFonts w:ascii="Arial" w:cs="Arial" w:eastAsia="Verdana" w:hAnsi="Arial"/>
          <w:sz w:val="20"/>
          <w:szCs w:val="20"/>
        </w:rPr>
        <w:t>-Especialista de 2do grado en MGI y Administración de Salud. Profesor Auxiliar. Universidad de Ciencias Médicas de Holguín.</w:t>
      </w:r>
    </w:p>
    <w:p>
      <w:pPr>
        <w:pStyle w:val="style0"/>
        <w:widowControl w:val="false"/>
        <w:autoSpaceDE w:val="false"/>
        <w:autoSpaceDN w:val="false"/>
        <w:adjustRightInd w:val="false"/>
        <w:spacing w:lineRule="exact" w:line="437"/>
        <w:rPr>
          <w:rFonts w:ascii="Verdana" w:cs="Calibri" w:hAnsi="Verdana"/>
          <w:color w:val="000000"/>
          <w:w w:val="103"/>
          <w:sz w:val="20"/>
          <w:szCs w:val="20"/>
        </w:rPr>
      </w:pPr>
      <w:r>
        <w:rPr>
          <w:rFonts w:ascii="Arial" w:cs="Arial" w:eastAsia="Verdana" w:hAnsi="Arial"/>
          <w:sz w:val="20"/>
          <w:szCs w:val="20"/>
          <w:lang w:val="es-VE" w:eastAsia="en-US"/>
        </w:rPr>
        <w:t>Loreta</w:t>
      </w:r>
      <w:r>
        <w:rPr>
          <w:rFonts w:ascii="Arial" w:cs="Arial" w:eastAsia="Verdana" w:hAnsi="Arial"/>
          <w:sz w:val="20"/>
          <w:szCs w:val="20"/>
          <w:lang w:val="es-VE" w:eastAsia="en-US"/>
        </w:rPr>
        <w:t xml:space="preserve"> de la Caridad Serra Parra</w:t>
      </w:r>
      <w:r>
        <w:rPr>
          <w:rFonts w:ascii="Arial" w:cs="Arial" w:eastAsia="Verdana" w:hAnsi="Arial"/>
          <w:sz w:val="20"/>
          <w:szCs w:val="20"/>
          <w:vertAlign w:val="superscript"/>
          <w:lang w:val="es-VE" w:eastAsia="en-US"/>
        </w:rPr>
        <w:t xml:space="preserve"> </w:t>
      </w:r>
      <w:r>
        <w:rPr>
          <w:rFonts w:ascii="Verdana" w:cs="Calibri" w:hAnsi="Verdana"/>
          <w:color w:val="0000ff"/>
          <w:sz w:val="20"/>
          <w:szCs w:val="20"/>
        </w:rPr>
        <w:t>mhttps://or</w:t>
      </w:r>
      <w:r>
        <w:rPr>
          <w:rFonts w:ascii="Verdana" w:cs="Calibri" w:hAnsi="Verdana"/>
          <w:color w:val="0000ff"/>
          <w:spacing w:val="4"/>
          <w:sz w:val="20"/>
          <w:szCs w:val="20"/>
        </w:rPr>
        <w:t>c</w:t>
      </w:r>
      <w:r>
        <w:rPr>
          <w:rFonts w:ascii="Verdana" w:cs="Calibri" w:hAnsi="Verdana"/>
          <w:color w:val="0000ff"/>
          <w:sz w:val="20"/>
          <w:szCs w:val="20"/>
        </w:rPr>
        <w:t>id.</w:t>
      </w:r>
      <w:r>
        <w:rPr>
          <w:rFonts w:ascii="Verdana" w:cs="Calibri" w:hAnsi="Verdana"/>
          <w:color w:val="0000ff"/>
          <w:spacing w:val="3"/>
          <w:sz w:val="20"/>
          <w:szCs w:val="20"/>
        </w:rPr>
        <w:t>o</w:t>
      </w:r>
      <w:r>
        <w:rPr>
          <w:rFonts w:ascii="Verdana" w:cs="Calibri" w:hAnsi="Verdana"/>
          <w:color w:val="0000ff"/>
          <w:sz w:val="20"/>
          <w:szCs w:val="20"/>
        </w:rPr>
        <w:t>rg/</w:t>
      </w:r>
      <w:r>
        <w:rPr>
          <w:rFonts w:ascii="Verdana" w:cs="Calibri" w:hAnsi="Verdana"/>
          <w:color w:val="0000ff"/>
          <w:spacing w:val="3"/>
          <w:sz w:val="20"/>
          <w:szCs w:val="20"/>
        </w:rPr>
        <w:t>0000-0003-3811-6191</w:t>
      </w:r>
    </w:p>
    <w:p>
      <w:pPr>
        <w:pStyle w:val="style0"/>
        <w:widowControl w:val="false"/>
        <w:autoSpaceDE w:val="false"/>
        <w:autoSpaceDN w:val="false"/>
        <w:adjustRightInd w:val="false"/>
        <w:spacing w:lineRule="exact" w:line="437"/>
        <w:rPr>
          <w:rFonts w:ascii="Verdana" w:cs="Calibri" w:hAnsi="Verdana"/>
          <w:color w:val="000000"/>
          <w:w w:val="103"/>
          <w:sz w:val="20"/>
          <w:szCs w:val="20"/>
        </w:rPr>
      </w:pPr>
      <w:r>
        <w:rPr>
          <w:rFonts w:ascii="Verdana" w:cs="Calibri" w:hAnsi="Verdana"/>
          <w:color w:val="000000"/>
          <w:w w:val="103"/>
          <w:sz w:val="20"/>
          <w:szCs w:val="20"/>
        </w:rPr>
        <w:t>Esp.</w:t>
      </w:r>
      <w:r>
        <w:rPr>
          <w:rFonts w:ascii="Arial" w:cs="Arial" w:eastAsia="Verdana" w:hAnsi="Arial"/>
          <w:sz w:val="20"/>
          <w:szCs w:val="20"/>
          <w:lang w:val="es-VE" w:eastAsia="en-US"/>
        </w:rPr>
        <w:t xml:space="preserve"> </w:t>
      </w:r>
      <w:r>
        <w:rPr>
          <w:rFonts w:ascii="Arial" w:cs="Arial" w:eastAsia="Verdana" w:hAnsi="Arial"/>
          <w:sz w:val="20"/>
          <w:szCs w:val="20"/>
          <w:lang w:val="es-VE" w:eastAsia="en-US"/>
        </w:rPr>
        <w:t>Ceida</w:t>
      </w:r>
      <w:r>
        <w:rPr>
          <w:rFonts w:ascii="Arial" w:cs="Arial" w:eastAsia="Verdana" w:hAnsi="Arial"/>
          <w:sz w:val="20"/>
          <w:szCs w:val="20"/>
          <w:lang w:val="es-VE" w:eastAsia="en-US"/>
        </w:rPr>
        <w:t xml:space="preserve">  Parra Hijuelos</w:t>
      </w:r>
      <w:r>
        <w:rPr>
          <w:rFonts w:ascii="Verdana" w:cs="Calibri" w:hAnsi="Verdana"/>
          <w:color w:val="0000ff"/>
          <w:sz w:val="20"/>
          <w:szCs w:val="20"/>
        </w:rPr>
        <w:t xml:space="preserve"> https://or</w:t>
      </w:r>
      <w:r>
        <w:rPr>
          <w:rFonts w:ascii="Verdana" w:cs="Calibri" w:hAnsi="Verdana"/>
          <w:color w:val="0000ff"/>
          <w:spacing w:val="4"/>
          <w:sz w:val="20"/>
          <w:szCs w:val="20"/>
        </w:rPr>
        <w:t>c</w:t>
      </w:r>
      <w:r>
        <w:rPr>
          <w:rFonts w:ascii="Verdana" w:cs="Calibri" w:hAnsi="Verdana"/>
          <w:color w:val="0000ff"/>
          <w:sz w:val="20"/>
          <w:szCs w:val="20"/>
        </w:rPr>
        <w:t>id.</w:t>
      </w:r>
      <w:r>
        <w:rPr>
          <w:rFonts w:ascii="Verdana" w:cs="Calibri" w:hAnsi="Verdana"/>
          <w:color w:val="0000ff"/>
          <w:spacing w:val="3"/>
          <w:sz w:val="20"/>
          <w:szCs w:val="20"/>
        </w:rPr>
        <w:t>o</w:t>
      </w:r>
      <w:r>
        <w:rPr>
          <w:rFonts w:ascii="Verdana" w:cs="Calibri" w:hAnsi="Verdana"/>
          <w:color w:val="0000ff"/>
          <w:sz w:val="20"/>
          <w:szCs w:val="20"/>
        </w:rPr>
        <w:t>rg/</w:t>
      </w:r>
      <w:r>
        <w:rPr>
          <w:rFonts w:ascii="Verdana" w:cs="Calibri" w:hAnsi="Verdana"/>
          <w:color w:val="0000ff"/>
          <w:spacing w:val="3"/>
          <w:sz w:val="20"/>
          <w:szCs w:val="20"/>
        </w:rPr>
        <w:t>0000-0003-1947-441X</w:t>
      </w:r>
    </w:p>
    <w:p>
      <w:pPr>
        <w:pStyle w:val="style0"/>
        <w:widowControl w:val="false"/>
        <w:autoSpaceDE w:val="false"/>
        <w:autoSpaceDN w:val="false"/>
        <w:adjustRightInd w:val="false"/>
        <w:spacing w:lineRule="exact" w:line="437"/>
        <w:rPr>
          <w:rFonts w:ascii="Verdana" w:cs="Calibri" w:hAnsi="Verdana"/>
          <w:color w:val="000000"/>
          <w:w w:val="103"/>
          <w:sz w:val="20"/>
          <w:szCs w:val="20"/>
        </w:rPr>
      </w:pPr>
      <w:r>
        <w:rPr>
          <w:rFonts w:ascii="Verdana" w:cs="Calibri" w:hAnsi="Verdana"/>
          <w:color w:val="000000"/>
          <w:w w:val="103"/>
          <w:sz w:val="20"/>
          <w:szCs w:val="20"/>
        </w:rPr>
        <w:t xml:space="preserve">Esp. Emilio Serra Hernández </w:t>
      </w:r>
      <w:r>
        <w:rPr>
          <w:rFonts w:ascii="Verdana" w:cs="Calibri" w:hAnsi="Verdana"/>
          <w:color w:val="0000ff"/>
          <w:sz w:val="20"/>
          <w:szCs w:val="20"/>
        </w:rPr>
        <w:t>https://or</w:t>
      </w:r>
      <w:r>
        <w:rPr>
          <w:rFonts w:ascii="Verdana" w:cs="Calibri" w:hAnsi="Verdana"/>
          <w:color w:val="0000ff"/>
          <w:spacing w:val="4"/>
          <w:sz w:val="20"/>
          <w:szCs w:val="20"/>
        </w:rPr>
        <w:t>c</w:t>
      </w:r>
      <w:r>
        <w:rPr>
          <w:rFonts w:ascii="Verdana" w:cs="Calibri" w:hAnsi="Verdana"/>
          <w:color w:val="0000ff"/>
          <w:sz w:val="20"/>
          <w:szCs w:val="20"/>
        </w:rPr>
        <w:t>id.</w:t>
      </w:r>
      <w:r>
        <w:rPr>
          <w:rFonts w:ascii="Verdana" w:cs="Calibri" w:hAnsi="Verdana"/>
          <w:color w:val="0000ff"/>
          <w:spacing w:val="3"/>
          <w:sz w:val="20"/>
          <w:szCs w:val="20"/>
        </w:rPr>
        <w:t>o</w:t>
      </w:r>
      <w:r>
        <w:rPr>
          <w:rFonts w:ascii="Verdana" w:cs="Calibri" w:hAnsi="Verdana"/>
          <w:color w:val="0000ff"/>
          <w:sz w:val="20"/>
          <w:szCs w:val="20"/>
        </w:rPr>
        <w:t>rg/</w:t>
      </w:r>
      <w:r>
        <w:rPr>
          <w:rFonts w:ascii="Verdana" w:cs="Calibri" w:hAnsi="Verdana"/>
          <w:color w:val="0000ff"/>
          <w:spacing w:val="3"/>
          <w:sz w:val="20"/>
          <w:szCs w:val="20"/>
        </w:rPr>
        <w:t>0000-0002-0398-0257</w:t>
      </w:r>
    </w:p>
    <w:p>
      <w:pPr>
        <w:pStyle w:val="style0"/>
        <w:spacing w:lineRule="auto" w:line="360"/>
        <w:jc w:val="center"/>
        <w:rPr>
          <w:rFonts w:ascii="Arial" w:cs="Arial" w:hAnsi="Arial"/>
          <w:b/>
          <w:u w:val="single"/>
        </w:rPr>
      </w:pPr>
      <w:r>
        <w:rPr>
          <w:rFonts w:ascii="Arial" w:cs="Arial" w:hAnsi="Arial"/>
          <w:b/>
        </w:rPr>
        <w:t>Resumen</w:t>
      </w:r>
    </w:p>
    <w:p>
      <w:pPr>
        <w:pStyle w:val="style0"/>
        <w:spacing w:lineRule="auto" w:line="360"/>
        <w:jc w:val="both"/>
        <w:rPr>
          <w:rFonts w:ascii="Arial" w:cs="Arial" w:hAnsi="Arial"/>
          <w:b/>
          <w:u w:val="single"/>
        </w:rPr>
      </w:pPr>
      <w:r>
        <w:rPr>
          <w:rFonts w:ascii="Arial" w:cs="Arial" w:hAnsi="Arial"/>
          <w:b/>
          <w:u w:val="single"/>
        </w:rPr>
        <w:t>Introducción:</w:t>
      </w:r>
      <w:r>
        <w:rPr>
          <w:rFonts w:ascii="Arial" w:cs="Arial" w:hAnsi="Arial"/>
        </w:rPr>
        <w:t xml:space="preserve"> Las enfermedades cardiovasculares presentan una elevada morbimortalidad a nivel mundial, las cuales están condicionadas por múltiples factores de riesgos. </w:t>
      </w:r>
    </w:p>
    <w:p>
      <w:pPr>
        <w:pStyle w:val="style0"/>
        <w:tabs>
          <w:tab w:val="left" w:leader="none" w:pos="1256"/>
        </w:tabs>
        <w:spacing w:after="200" w:lineRule="auto" w:line="360"/>
        <w:jc w:val="both"/>
        <w:rPr>
          <w:rFonts w:ascii="Arial" w:cs="Arial" w:hAnsi="Arial"/>
        </w:rPr>
      </w:pPr>
      <w:r>
        <w:rPr>
          <w:rFonts w:ascii="Arial" w:cs="Arial" w:hAnsi="Arial"/>
          <w:b/>
          <w:u w:val="single"/>
        </w:rPr>
        <w:t>Objetivo:</w:t>
      </w:r>
      <w:r>
        <w:rPr>
          <w:rFonts w:ascii="Arial" w:cs="Arial" w:hAnsi="Arial"/>
        </w:rPr>
        <w:t xml:space="preserve"> Evaluar la efectividad de una intervención educativa sobre factores de riesgo coronarios en adultos.</w:t>
      </w:r>
    </w:p>
    <w:p>
      <w:pPr>
        <w:pStyle w:val="style0"/>
        <w:tabs>
          <w:tab w:val="left" w:leader="none" w:pos="1256"/>
        </w:tabs>
        <w:spacing w:after="200" w:lineRule="auto" w:line="360"/>
        <w:jc w:val="both"/>
        <w:rPr>
          <w:rFonts w:ascii="Arial" w:cs="Arial" w:hAnsi="Arial"/>
        </w:rPr>
      </w:pPr>
      <w:r>
        <w:rPr>
          <w:rFonts w:ascii="Arial" w:cs="Arial" w:hAnsi="Arial"/>
          <w:b/>
          <w:u w:val="single"/>
        </w:rPr>
        <w:t>Material y Métodos:</w:t>
      </w:r>
      <w:r>
        <w:rPr>
          <w:rFonts w:ascii="Arial" w:cs="Arial" w:hAnsi="Arial"/>
        </w:rPr>
        <w:t xml:space="preserve"> Se realizó un estudio cuasi-experimental de intervención educativa sobre factores de riesgo coronarios en adultos del Consultorio 13 del Policlínico </w:t>
      </w:r>
      <w:r>
        <w:rPr>
          <w:rFonts w:ascii="Arial" w:cs="Arial" w:hAnsi="Arial"/>
          <w:bCs/>
        </w:rPr>
        <w:t>Mario Gutiérrez</w:t>
      </w:r>
      <w:r>
        <w:rPr>
          <w:rFonts w:ascii="Arial" w:cs="Arial" w:hAnsi="Arial"/>
        </w:rPr>
        <w:t xml:space="preserve"> del Municipio Holguín durante el año 2017. La misma constó de 3 etapas: Determinación de los conocimientos previos, aplicación y evaluación de la intervención. Se aplicó una encuesta.</w:t>
      </w:r>
    </w:p>
    <w:p>
      <w:pPr>
        <w:pStyle w:val="style94"/>
        <w:spacing w:lineRule="auto" w:line="360"/>
        <w:jc w:val="both"/>
        <w:rPr>
          <w:rFonts w:ascii="Arial" w:cs="Arial" w:hAnsi="Arial"/>
        </w:rPr>
      </w:pPr>
      <w:r>
        <w:rPr>
          <w:rFonts w:ascii="Arial" w:cs="Arial" w:hAnsi="Arial"/>
          <w:b/>
          <w:u w:val="single"/>
        </w:rPr>
        <w:t>DeCS</w:t>
      </w:r>
      <w:r>
        <w:rPr>
          <w:rFonts w:ascii="Arial" w:cs="Arial" w:hAnsi="Arial"/>
          <w:b/>
          <w:u w:val="single"/>
        </w:rPr>
        <w:t>:</w:t>
      </w:r>
      <w:r>
        <w:rPr>
          <w:rFonts w:ascii="Arial" w:cs="Arial" w:hAnsi="Arial"/>
        </w:rPr>
        <w:t xml:space="preserve"> cardiopatía isquémica, conocimientos, factores de riesgo coronarios, intervención educativa.</w:t>
      </w:r>
    </w:p>
    <w:p>
      <w:pPr>
        <w:pStyle w:val="style0"/>
        <w:spacing w:after="200" w:lineRule="auto" w:line="360"/>
        <w:jc w:val="both"/>
        <w:rPr>
          <w:rFonts w:ascii="Arial" w:cs="Arial" w:eastAsia="Calibri" w:hAnsi="Arial"/>
          <w:b/>
          <w:lang w:eastAsia="en-US"/>
        </w:rPr>
      </w:pPr>
      <w:r>
        <w:rPr>
          <w:rFonts w:ascii="Arial" w:cs="Arial" w:eastAsia="Calibri" w:hAnsi="Arial"/>
          <w:b/>
          <w:lang w:eastAsia="en-US"/>
        </w:rPr>
        <w:t>INTRODUCCION</w:t>
      </w:r>
    </w:p>
    <w:p>
      <w:pPr>
        <w:pStyle w:val="style0"/>
        <w:shd w:val="clear" w:color="auto" w:fill="ffffff"/>
        <w:spacing w:lineRule="auto" w:line="360"/>
        <w:jc w:val="both"/>
        <w:rPr>
          <w:rFonts w:ascii="Arial" w:cs="Arial" w:hAnsi="Arial"/>
        </w:rPr>
      </w:pPr>
      <w:r>
        <w:rPr>
          <w:rFonts w:ascii="Arial" w:cs="Arial" w:hAnsi="Arial"/>
        </w:rPr>
        <w:t xml:space="preserve">Muchos son los factores de riesgo coronarios que favorecen la aparición de múltiples enfermedades cardíacas, entre ellas la cardiopatía isquémica como la de mayor incidencia. Mientras más factores de riesgos </w:t>
      </w:r>
      <w:r>
        <w:rPr>
          <w:rFonts w:ascii="Arial" w:cs="Arial" w:hAnsi="Arial"/>
        </w:rPr>
        <w:t>tenga</w:t>
      </w:r>
      <w:r>
        <w:rPr>
          <w:rFonts w:ascii="Arial" w:cs="Arial" w:hAnsi="Arial"/>
        </w:rPr>
        <w:t xml:space="preserve"> una persona, mayores serán sus probabilidades de padecer la enfermedad. Algunos pueden tratarse o modificarse y otros no, pero el control del mayor número posible de </w:t>
      </w:r>
      <w:r>
        <w:rPr>
          <w:rFonts w:ascii="Arial" w:cs="Arial" w:hAnsi="Arial"/>
        </w:rPr>
        <w:t>ellos, mediante cambios en el estilo de vida y tratamientos precoces, puede reducir el riesgo de enfermedad cardiovascular.</w:t>
      </w:r>
      <w:r>
        <w:rPr>
          <w:rFonts w:ascii="Arial" w:cs="Arial" w:hAnsi="Arial"/>
          <w:vertAlign w:val="superscript"/>
        </w:rPr>
        <w:t>1</w:t>
      </w:r>
      <w:r>
        <w:rPr>
          <w:rFonts w:ascii="Arial" w:cs="Arial" w:hAnsi="Arial"/>
          <w:vertAlign w:val="superscript"/>
        </w:rPr>
        <w:t>,2</w:t>
      </w:r>
    </w:p>
    <w:p>
      <w:pPr>
        <w:pStyle w:val="style0"/>
        <w:shd w:val="clear" w:color="auto" w:fill="ffffff"/>
        <w:spacing w:lineRule="auto" w:line="360"/>
        <w:jc w:val="both"/>
        <w:rPr>
          <w:rFonts w:ascii="Arial" w:cs="Arial" w:hAnsi="Arial"/>
        </w:rPr>
      </w:pPr>
      <w:r>
        <w:rPr>
          <w:rFonts w:ascii="Arial" w:cs="Arial" w:hAnsi="Arial"/>
        </w:rPr>
        <w:t>El hábito de fumar, la hipertensión arterial, la hipercolesterolemia, el sedentarismo y los antecedentes familiares de enfermedad coronaria, permiten en muchos casos predecir dentro de ciertos límites el riesgo de un individuo de sufrir esta enfermedad. Varios autores aseguran que la gran mayoría de los factores de riesgos para la enfermedad cardiovascular son modificables, es decir, que pueden ser corregidos, generándose una reducción significativa de estos</w:t>
      </w:r>
      <w:r>
        <w:rPr>
          <w:rFonts w:ascii="Arial" w:cs="Arial" w:hAnsi="Arial"/>
          <w:vertAlign w:val="subscript"/>
        </w:rPr>
        <w:t>.</w:t>
      </w:r>
      <w:r>
        <w:rPr>
          <w:rFonts w:ascii="Arial" w:cs="Arial" w:hAnsi="Arial"/>
          <w:vertAlign w:val="superscript"/>
        </w:rPr>
        <w:t>2</w:t>
      </w:r>
      <w:r>
        <w:rPr>
          <w:rFonts w:ascii="Arial" w:cs="Arial" w:hAnsi="Arial"/>
          <w:vertAlign w:val="superscript"/>
        </w:rPr>
        <w:t>,3</w:t>
      </w:r>
    </w:p>
    <w:p>
      <w:pPr>
        <w:pStyle w:val="style0"/>
        <w:shd w:val="clear" w:color="auto" w:fill="ffffff"/>
        <w:spacing w:lineRule="auto" w:line="360"/>
        <w:jc w:val="both"/>
        <w:rPr>
          <w:rFonts w:ascii="Arial" w:cs="Arial" w:hAnsi="Arial"/>
          <w:vertAlign w:val="superscript"/>
        </w:rPr>
      </w:pPr>
      <w:r>
        <w:rPr>
          <w:rFonts w:ascii="Arial" w:cs="Arial" w:hAnsi="Arial"/>
        </w:rPr>
        <w:t>Desde el punto de vista epidemiológico, estos factores de riesgo vascular son predictores estadísticos de la enfermedad y tienen gran importancia clínica, sobre todo por el efecto aditivo, al coincidir varios de ellos en un mismo paciente.</w:t>
      </w:r>
      <w:r>
        <w:rPr>
          <w:rFonts w:ascii="Arial" w:cs="Arial" w:hAnsi="Arial"/>
          <w:vertAlign w:val="superscript"/>
        </w:rPr>
        <w:t xml:space="preserve"> 4,5</w:t>
      </w:r>
    </w:p>
    <w:p>
      <w:pPr>
        <w:pStyle w:val="style0"/>
        <w:spacing w:lineRule="auto" w:line="360"/>
        <w:jc w:val="both"/>
        <w:rPr>
          <w:rFonts w:ascii="Arial" w:cs="Arial" w:hAnsi="Arial"/>
          <w:color w:val="231f20"/>
        </w:rPr>
      </w:pPr>
      <w:r>
        <w:rPr>
          <w:rFonts w:ascii="Arial" w:cs="Arial" w:hAnsi="Arial"/>
        </w:rPr>
        <w:t xml:space="preserve">Es tarea </w:t>
      </w:r>
      <w:r>
        <w:rPr>
          <w:rFonts w:ascii="Arial" w:cs="Arial" w:hAnsi="Arial"/>
        </w:rPr>
        <w:t>priorizable</w:t>
      </w:r>
      <w:r>
        <w:rPr>
          <w:rFonts w:ascii="Arial" w:cs="Arial" w:hAnsi="Arial"/>
        </w:rPr>
        <w:t xml:space="preserve"> de la cardiología de este tiempo la especial atención a la cardiopatía isquémica. Cuba ha prestado consideración especial a las características, concentración y frecuencia de la </w:t>
      </w:r>
      <w:r>
        <w:rPr>
          <w:rFonts w:ascii="Arial" w:cs="Arial" w:hAnsi="Arial"/>
        </w:rPr>
        <w:t>cardiopatita</w:t>
      </w:r>
      <w:r>
        <w:rPr>
          <w:rFonts w:ascii="Arial" w:cs="Arial" w:hAnsi="Arial"/>
        </w:rPr>
        <w:t xml:space="preserve"> isquémica, principalmente en grupos de población, incluidos los adolescentes genéticamente más expuestos, a modo de que con el desarrollo de la medicina preventiva, en edades tempranas de la vida se pueda evitar en la descendencia, hasta cierto punto, el riesgo que le impone la lotería genética.</w:t>
      </w:r>
      <w:r>
        <w:rPr>
          <w:rFonts w:ascii="Arial" w:cs="Arial" w:hAnsi="Arial"/>
          <w:vertAlign w:val="superscript"/>
        </w:rPr>
        <w:t xml:space="preserve"> 6,7</w:t>
      </w:r>
      <w:r>
        <w:rPr>
          <w:rFonts w:ascii="Arial" w:cs="Arial" w:hAnsi="Arial"/>
        </w:rPr>
        <w:br/>
      </w:r>
      <w:r>
        <w:rPr>
          <w:rFonts w:ascii="Arial" w:cs="Arial" w:hAnsi="Arial"/>
        </w:rPr>
        <w:t>La mortalidad por Cardiopatía Isquémica (</w:t>
      </w:r>
      <w:r>
        <w:rPr>
          <w:rFonts w:ascii="Arial" w:cs="Arial" w:hAnsi="Arial"/>
          <w:color w:val="231f20"/>
        </w:rPr>
        <w:t>CI</w:t>
      </w:r>
      <w:r>
        <w:rPr>
          <w:rFonts w:ascii="Arial" w:cs="Arial" w:hAnsi="Arial"/>
        </w:rPr>
        <w:t xml:space="preserve">) ha ido en aumento en los países desarrollados, actualmente múltiples reportes evidencian una mayor probabilidad de muerte en mujeres luego de padecer un evento coronario agudo. Así en el reporte estadístico de la American </w:t>
      </w:r>
      <w:r>
        <w:rPr>
          <w:rFonts w:ascii="Arial" w:cs="Arial" w:hAnsi="Arial"/>
        </w:rPr>
        <w:t>Heart</w:t>
      </w:r>
      <w:r>
        <w:rPr>
          <w:rFonts w:ascii="Arial" w:cs="Arial" w:hAnsi="Arial"/>
        </w:rPr>
        <w:t xml:space="preserve"> </w:t>
      </w:r>
      <w:r>
        <w:rPr>
          <w:rFonts w:ascii="Arial" w:cs="Arial" w:hAnsi="Arial"/>
        </w:rPr>
        <w:t>Association</w:t>
      </w:r>
      <w:r>
        <w:rPr>
          <w:rFonts w:ascii="Arial" w:cs="Arial" w:hAnsi="Arial"/>
        </w:rPr>
        <w:t xml:space="preserve"> del 2016 se observa en pacientes ≥45 años una probabilidad de muerte al año de 19% en los hombres y del 26% en las mujeres. La explicación anterior supone que si se previene la ateroesclerosis como factor de riego fundamental existirá como resultado una significativa reducción de las cardiopatías isquémicas. </w:t>
      </w:r>
      <w:r>
        <w:rPr>
          <w:rFonts w:ascii="Arial" w:cs="Arial" w:hAnsi="Arial"/>
          <w:vertAlign w:val="superscript"/>
        </w:rPr>
        <w:t>8,9</w:t>
      </w:r>
    </w:p>
    <w:p>
      <w:pPr>
        <w:pStyle w:val="style0"/>
        <w:spacing w:lineRule="auto" w:line="360"/>
        <w:jc w:val="both"/>
        <w:rPr>
          <w:rFonts w:ascii="Arial" w:cs="Arial" w:hAnsi="Arial"/>
          <w:color w:val="231f20"/>
        </w:rPr>
      </w:pPr>
    </w:p>
    <w:p>
      <w:pPr>
        <w:pStyle w:val="style94"/>
        <w:spacing w:lineRule="auto" w:line="360"/>
        <w:jc w:val="both"/>
        <w:rPr>
          <w:rFonts w:ascii="Arial" w:cs="Arial" w:hAnsi="Arial"/>
        </w:rPr>
      </w:pPr>
      <w:r>
        <w:rPr>
          <w:rFonts w:ascii="Arial" w:cs="Arial" w:hAnsi="Arial"/>
        </w:rPr>
        <w:t xml:space="preserve">En Cuba, las enfermedades cardiovasculares, causaron  la muerte, en el año 2016, a 24 462 personas en todo el país, con una tasa de 217.7 por 100 000 habitantes. De esta </w:t>
      </w:r>
      <w:r>
        <w:rPr>
          <w:rFonts w:ascii="Arial" w:cs="Arial" w:hAnsi="Arial"/>
          <w:shd w:val="clear" w:color="auto" w:fill="ffffff"/>
        </w:rPr>
        <w:t xml:space="preserve">cifra </w:t>
      </w:r>
      <w:r>
        <w:rPr>
          <w:rFonts w:ascii="Arial" w:cs="Arial" w:hAnsi="Arial"/>
        </w:rPr>
        <w:t xml:space="preserve">13 039 </w:t>
      </w:r>
      <w:r>
        <w:rPr>
          <w:rFonts w:ascii="Arial" w:cs="Arial" w:hAnsi="Arial"/>
          <w:shd w:val="clear" w:color="auto" w:fill="ffffff"/>
        </w:rPr>
        <w:t xml:space="preserve"> eran</w:t>
      </w:r>
      <w:r>
        <w:rPr>
          <w:rFonts w:ascii="Arial" w:cs="Arial" w:hAnsi="Arial"/>
        </w:rPr>
        <w:t xml:space="preserve"> hombres y 11 423 eran mujeres, siendo el primer sexo el más afectado. El 66.0 % de las muertes por enfermedades del </w:t>
      </w:r>
      <w:r>
        <w:rPr>
          <w:rFonts w:ascii="Arial" w:cs="Arial" w:hAnsi="Arial"/>
        </w:rPr>
        <w:t xml:space="preserve">corazón ocurre por enfermedades isquémicas, de ellas, el 44.4 % por infarto agudo </w:t>
      </w:r>
      <w:r>
        <w:rPr>
          <w:rFonts w:ascii="Arial" w:cs="Arial" w:hAnsi="Arial"/>
        </w:rPr>
        <w:t>del</w:t>
      </w:r>
      <w:r>
        <w:rPr>
          <w:rFonts w:ascii="Arial" w:cs="Arial" w:hAnsi="Arial"/>
        </w:rPr>
        <w:t xml:space="preserve"> miocardio. Estas enfermedades constituyen la primera causa de muerte en nuestro país.</w:t>
      </w:r>
      <w:r>
        <w:rPr>
          <w:rFonts w:ascii="Arial" w:cs="Arial" w:hAnsi="Arial"/>
          <w:vertAlign w:val="superscript"/>
        </w:rPr>
        <w:t xml:space="preserve"> </w:t>
      </w:r>
      <w:r>
        <w:rPr>
          <w:rFonts w:ascii="Arial" w:cs="Arial" w:hAnsi="Arial"/>
        </w:rPr>
        <w:t xml:space="preserve">La magnitud de este problema va en aumento, si se toma en consideración el incremento de la esperanza de vida al nacer de los cubanos y la disminución de la tasa de natalidad, lo que lleva a un envejecimiento progresivo de la población. </w:t>
      </w:r>
      <w:r>
        <w:rPr>
          <w:rFonts w:ascii="Arial" w:cs="Arial" w:hAnsi="Arial"/>
          <w:vertAlign w:val="superscript"/>
        </w:rPr>
        <w:t>10,11</w:t>
      </w:r>
    </w:p>
    <w:p>
      <w:pPr>
        <w:pStyle w:val="style0"/>
        <w:spacing w:lineRule="auto" w:line="360"/>
        <w:jc w:val="both"/>
        <w:rPr>
          <w:rFonts w:ascii="Arial" w:cs="Arial" w:hAnsi="Arial"/>
        </w:rPr>
      </w:pPr>
      <w:r>
        <w:rPr>
          <w:rFonts w:ascii="Arial" w:cs="Arial" w:hAnsi="Arial"/>
        </w:rPr>
        <w:t>En el año 2016 en Holguín se produjeron 1 786  defunciones producto a enfermedades del corazón, siendo la segunda causa de muerte en este territorio.</w:t>
      </w:r>
      <w:r>
        <w:rPr>
          <w:rFonts w:ascii="Arial" w:cs="Arial" w:hAnsi="Arial"/>
          <w:vertAlign w:val="superscript"/>
        </w:rPr>
        <w:t>12</w:t>
      </w:r>
      <w:r>
        <w:rPr>
          <w:rFonts w:ascii="Arial" w:cs="Arial" w:hAnsi="Arial"/>
          <w:vertAlign w:val="superscript"/>
        </w:rPr>
        <w:t xml:space="preserve"> </w:t>
      </w:r>
      <w:r>
        <w:rPr>
          <w:rFonts w:ascii="Arial" w:cs="Arial" w:hAnsi="Arial"/>
        </w:rPr>
        <w:t xml:space="preserve"> </w:t>
      </w:r>
    </w:p>
    <w:p>
      <w:pPr>
        <w:pStyle w:val="style0"/>
        <w:spacing w:lineRule="auto" w:line="360"/>
        <w:jc w:val="both"/>
        <w:rPr>
          <w:rFonts w:ascii="Arial" w:cs="Arial" w:hAnsi="Arial"/>
        </w:rPr>
      </w:pPr>
      <w:r>
        <w:rPr>
          <w:rFonts w:ascii="Arial" w:cs="Arial" w:hAnsi="Arial"/>
        </w:rPr>
        <w:t xml:space="preserve">En el </w:t>
      </w:r>
      <w:r>
        <w:rPr>
          <w:rFonts w:ascii="Arial" w:cs="Arial" w:hAnsi="Arial"/>
          <w:bCs/>
        </w:rPr>
        <w:t xml:space="preserve">Consultorio 13 del Policlínico </w:t>
      </w:r>
      <w:r>
        <w:rPr>
          <w:rFonts w:ascii="Arial" w:cs="Arial" w:hAnsi="Arial"/>
          <w:bCs/>
          <w:color w:val="000000"/>
        </w:rPr>
        <w:t>Mario Gutiérrez</w:t>
      </w:r>
      <w:r>
        <w:rPr>
          <w:rFonts w:ascii="Arial" w:cs="Arial" w:hAnsi="Arial"/>
        </w:rPr>
        <w:t xml:space="preserve"> durante el año 2023</w:t>
      </w:r>
      <w:r>
        <w:rPr>
          <w:rFonts w:ascii="Arial" w:cs="Arial" w:hAnsi="Arial"/>
        </w:rPr>
        <w:t xml:space="preserve"> existían </w:t>
      </w:r>
      <w:r>
        <w:rPr>
          <w:rFonts w:ascii="Arial" w:cs="Arial" w:hAnsi="Arial"/>
          <w:shd w:val="clear" w:color="auto" w:fill="ffffff"/>
        </w:rPr>
        <w:t>220 personas con cardiopatía isquémica, de ellas 150 eran hombres y 70 mujeres,</w:t>
      </w:r>
      <w:r>
        <w:rPr>
          <w:rFonts w:ascii="Arial" w:cs="Arial" w:hAnsi="Arial"/>
        </w:rPr>
        <w:t xml:space="preserve"> siendo el primero el sexo más afectado. En esta área de salud la cardiopatía isquémica constituye uno de los principales problemas de salud por su elevada prevalencia. </w:t>
      </w:r>
    </w:p>
    <w:p>
      <w:pPr>
        <w:pStyle w:val="style0"/>
        <w:spacing w:lineRule="auto" w:line="360"/>
        <w:jc w:val="both"/>
        <w:rPr>
          <w:rFonts w:ascii="Arial" w:cs="Arial" w:hAnsi="Arial"/>
          <w:b/>
          <w:u w:val="single"/>
        </w:rPr>
      </w:pPr>
      <w:r>
        <w:rPr>
          <w:rFonts w:ascii="Arial" w:cs="Arial" w:hAnsi="Arial"/>
        </w:rPr>
        <w:t>La puesta en práctica del programa del médico y la enfermera de la familia, desde hace varios años, ha generado un cambio significativo en el perfil de la salud cubana, aunque todavía es necesario seguir consolidando sus estrategias para con la población, especialmente la sana , encaminadas no solo al diagnóstico y el seguimiento de pacientes con enfermedades ya diagnosticadas, si no a la realización de intervenciones y acciones de salud pertinentes que favorecen la modificación de estilos de vida y el control de los factores de riesgo que constituyan problemas de salud, en aras de cumplir con la verdadera misión como Guardianes de la Salud, es decir con la prevención.</w:t>
      </w:r>
      <w:r>
        <w:rPr>
          <w:rFonts w:ascii="Arial" w:cs="Arial" w:hAnsi="Arial"/>
          <w:vertAlign w:val="superscript"/>
        </w:rPr>
        <w:t>13,14</w:t>
      </w:r>
    </w:p>
    <w:p>
      <w:pPr>
        <w:pStyle w:val="style94"/>
        <w:tabs>
          <w:tab w:val="left" w:leader="none" w:pos="426"/>
        </w:tabs>
        <w:spacing w:before="0" w:after="0" w:lineRule="auto" w:line="360"/>
        <w:jc w:val="both"/>
        <w:rPr>
          <w:rFonts w:ascii="Arial" w:cs="Arial" w:hAnsi="Arial"/>
          <w:b/>
        </w:rPr>
      </w:pPr>
      <w:r>
        <w:rPr>
          <w:rFonts w:ascii="Arial" w:cs="Arial" w:hAnsi="Arial"/>
          <w:b/>
          <w:u w:val="single"/>
        </w:rPr>
        <w:t>Problema científico</w:t>
      </w:r>
      <w:r>
        <w:rPr>
          <w:rFonts w:ascii="Arial" w:cs="Arial" w:hAnsi="Arial"/>
          <w:u w:val="single"/>
        </w:rPr>
        <w:t>:</w:t>
      </w:r>
    </w:p>
    <w:p>
      <w:pPr>
        <w:pStyle w:val="style94"/>
        <w:tabs>
          <w:tab w:val="left" w:leader="none" w:pos="426"/>
        </w:tabs>
        <w:spacing w:before="0" w:after="0" w:lineRule="auto" w:line="360"/>
        <w:jc w:val="both"/>
        <w:rPr>
          <w:rFonts w:ascii="Arial" w:cs="Arial" w:hAnsi="Arial"/>
          <w:b/>
          <w:u w:val="single"/>
        </w:rPr>
      </w:pPr>
      <w:r>
        <w:rPr>
          <w:rFonts w:ascii="Arial" w:cs="Arial" w:hAnsi="Arial"/>
          <w:b/>
        </w:rPr>
        <w:t xml:space="preserve">¿Qué efectividad posee la aplicación de una intervención educativa sobre factores de riesgo coronarios en adultos del Consultorio </w:t>
      </w:r>
      <w:r>
        <w:rPr>
          <w:rFonts w:ascii="Arial" w:cs="Arial" w:hAnsi="Arial"/>
          <w:b/>
          <w:bCs/>
        </w:rPr>
        <w:t>13 del Policlínico Mario Gutiérrez</w:t>
      </w:r>
      <w:r>
        <w:rPr>
          <w:rFonts w:ascii="Arial" w:cs="Arial" w:hAnsi="Arial"/>
          <w:b/>
        </w:rPr>
        <w:t xml:space="preserve"> del Munic</w:t>
      </w:r>
      <w:r>
        <w:rPr>
          <w:rFonts w:ascii="Arial" w:cs="Arial" w:hAnsi="Arial"/>
          <w:b/>
        </w:rPr>
        <w:t>ipio Holguín durante el año 2023</w:t>
      </w:r>
      <w:r>
        <w:rPr>
          <w:rFonts w:ascii="Arial" w:cs="Arial" w:hAnsi="Arial"/>
          <w:b/>
        </w:rPr>
        <w:t>?</w:t>
      </w:r>
    </w:p>
    <w:p>
      <w:pPr>
        <w:pStyle w:val="style0"/>
        <w:spacing w:lineRule="auto" w:line="360"/>
        <w:jc w:val="both"/>
        <w:rPr>
          <w:rFonts w:ascii="Arial" w:cs="Arial" w:hAnsi="Arial"/>
        </w:rPr>
      </w:pPr>
      <w:r>
        <w:rPr>
          <w:rFonts w:ascii="Arial" w:cs="Arial" w:hAnsi="Arial"/>
          <w:b/>
          <w:u w:val="single"/>
        </w:rPr>
        <w:t>Resultados:</w:t>
      </w:r>
      <w:r>
        <w:rPr>
          <w:rFonts w:ascii="Arial" w:cs="Arial" w:hAnsi="Arial"/>
        </w:rPr>
        <w:t xml:space="preserve"> Predominó el sexo masculino con 80 pacientes lo que representa el 57.14%; el grupo etario de </w:t>
      </w:r>
      <w:r>
        <w:rPr>
          <w:rFonts w:ascii="Arial" w:cs="Arial" w:hAnsi="Arial"/>
        </w:rPr>
        <w:t>40 a</w:t>
      </w:r>
      <w:r>
        <w:rPr>
          <w:rFonts w:ascii="Arial" w:cs="Arial" w:hAnsi="Arial"/>
        </w:rPr>
        <w:t xml:space="preserve"> 50 años con 60 pacientes para un 17.87%; las </w:t>
      </w:r>
      <w:r>
        <w:rPr>
          <w:rFonts w:ascii="Arial" w:cs="Arial" w:hAnsi="Arial"/>
          <w:lang w:eastAsia="es-US"/>
        </w:rPr>
        <w:t xml:space="preserve">fuentes de información sobre los conocimientos que predominaron fueron la </w:t>
      </w:r>
      <w:r>
        <w:rPr>
          <w:rFonts w:ascii="Arial" w:cs="Arial" w:hAnsi="Arial"/>
          <w:lang w:eastAsia="es-US"/>
        </w:rPr>
        <w:t xml:space="preserve">familia y la radio y televisión con 71.42%; </w:t>
      </w:r>
      <w:r>
        <w:rPr>
          <w:rFonts w:ascii="Arial" w:cs="Arial" w:hAnsi="Arial"/>
        </w:rPr>
        <w:t>el conocimiento de factores de riesgo coronarios antes era inadecuado</w:t>
      </w:r>
      <w:r>
        <w:rPr>
          <w:rFonts w:ascii="Arial" w:cs="Arial" w:hAnsi="Arial"/>
          <w:b/>
          <w:color w:val="0d0d0d"/>
        </w:rPr>
        <w:t>,</w:t>
      </w:r>
      <w:r>
        <w:rPr>
          <w:rFonts w:ascii="Arial" w:cs="Arial" w:hAnsi="Arial"/>
        </w:rPr>
        <w:t xml:space="preserve"> después fue de adecuado con 130 para un 92.85%; la percepción del riesgo antes de la intervención era baja, después fue de alta con 135 pacientes; antes de la aplicación de la intervención solo 17 pacientes estaban dispuestos a modificar sus estilos de vida y luego 135 mostraron su disposición para un 96.42 %.</w:t>
      </w:r>
    </w:p>
    <w:p>
      <w:pPr>
        <w:pStyle w:val="style0"/>
        <w:spacing w:lineRule="auto" w:line="360"/>
        <w:jc w:val="both"/>
        <w:rPr>
          <w:rFonts w:ascii="Arial" w:cs="Arial" w:hAnsi="Arial"/>
          <w:b/>
          <w:bCs/>
          <w:u w:val="single"/>
        </w:rPr>
      </w:pPr>
      <w:r>
        <w:rPr>
          <w:rFonts w:ascii="Arial" w:cs="Arial" w:hAnsi="Arial"/>
          <w:b/>
        </w:rPr>
        <w:t>ANÁLISIS Y DISCUSIÓN DE LOS RESULTADOS</w:t>
      </w:r>
    </w:p>
    <w:p>
      <w:pPr>
        <w:pStyle w:val="style0"/>
        <w:shd w:val="clear" w:color="auto" w:fill="ffffff"/>
        <w:spacing w:before="100" w:beforeAutospacing="true" w:after="100" w:afterAutospacing="true" w:lineRule="auto" w:line="360"/>
        <w:jc w:val="both"/>
        <w:rPr>
          <w:rFonts w:ascii="Arial" w:cs="Arial" w:hAnsi="Arial"/>
        </w:rPr>
      </w:pPr>
      <w:r>
        <w:rPr>
          <w:rFonts w:ascii="Arial" w:cs="Arial" w:eastAsia="Calibri" w:hAnsi="Arial"/>
          <w:b/>
          <w:bCs/>
          <w:u w:val="single"/>
        </w:rPr>
        <w:t>Tabla1:</w:t>
      </w:r>
      <w:r>
        <w:rPr>
          <w:rFonts w:ascii="Arial" w:cs="Arial" w:eastAsia="Calibri" w:hAnsi="Arial"/>
          <w:b/>
          <w:bCs/>
        </w:rPr>
        <w:t xml:space="preserve"> Distribución de pacientes según sexo y grupo de edades. Consultorio </w:t>
      </w:r>
      <w:r>
        <w:rPr>
          <w:rFonts w:ascii="Arial" w:cs="Arial" w:hAnsi="Arial"/>
          <w:b/>
          <w:bCs/>
        </w:rPr>
        <w:t xml:space="preserve">13. Policlínico </w:t>
      </w:r>
      <w:r>
        <w:rPr>
          <w:rFonts w:ascii="Arial" w:cs="Arial" w:hAnsi="Arial"/>
          <w:b/>
          <w:bCs/>
          <w:color w:val="000000"/>
        </w:rPr>
        <w:t>Mario Gutiérrez</w:t>
      </w:r>
      <w:r>
        <w:rPr>
          <w:rFonts w:ascii="Arial" w:cs="Arial" w:eastAsia="Calibri" w:hAnsi="Arial"/>
          <w:b/>
          <w:bCs/>
        </w:rPr>
        <w:t>. Holguín. 2023</w:t>
      </w:r>
    </w:p>
    <w:tbl>
      <w:tblPr>
        <w:tblW w:w="0" w:type="auto"/>
        <w:tblInd w:w="-5" w:type="dxa"/>
        <w:tblLayout w:type="fixed"/>
        <w:tblLook w:val="0000" w:firstRow="0" w:lastRow="0" w:firstColumn="0" w:lastColumn="0" w:noHBand="0" w:noVBand="0"/>
      </w:tblPr>
      <w:tblGrid>
        <w:gridCol w:w="2235"/>
        <w:gridCol w:w="1417"/>
        <w:gridCol w:w="1417"/>
        <w:gridCol w:w="1417"/>
        <w:gridCol w:w="1144"/>
      </w:tblGrid>
      <w:tr>
        <w:trPr/>
        <w:tc>
          <w:tcPr>
            <w:tcW w:w="2235" w:type="dxa"/>
            <w:tcBorders>
              <w:top w:val="single" w:sz="4" w:space="0" w:color="000000"/>
              <w:left w:val="single" w:sz="4" w:space="0" w:color="ffffff"/>
              <w:bottom w:val="single" w:sz="4" w:space="0" w:color="000000"/>
            </w:tcBorders>
          </w:tcPr>
          <w:p>
            <w:pPr>
              <w:pStyle w:val="style0"/>
              <w:tabs>
                <w:tab w:val="left" w:leader="none" w:pos="3523"/>
              </w:tabs>
              <w:snapToGrid w:val="false"/>
              <w:spacing w:lineRule="auto" w:line="360"/>
              <w:jc w:val="both"/>
              <w:rPr>
                <w:rFonts w:ascii="Arial" w:cs="Arial" w:hAnsi="Arial"/>
              </w:rPr>
            </w:pPr>
          </w:p>
        </w:tc>
        <w:tc>
          <w:tcPr>
            <w:tcW w:w="1417" w:type="dxa"/>
            <w:tcBorders>
              <w:top w:val="single" w:sz="4" w:space="0" w:color="000000"/>
              <w:left w:val="single" w:sz="4" w:space="0" w:color="000000"/>
              <w:bottom w:val="single" w:sz="4" w:space="0" w:color="000000"/>
            </w:tcBorders>
          </w:tcPr>
          <w:p>
            <w:pPr>
              <w:pStyle w:val="style0"/>
              <w:tabs>
                <w:tab w:val="left" w:leader="none" w:pos="3523"/>
              </w:tabs>
              <w:spacing w:lineRule="auto" w:line="360"/>
              <w:jc w:val="both"/>
              <w:rPr>
                <w:rFonts w:ascii="Arial" w:cs="Arial" w:hAnsi="Arial"/>
              </w:rPr>
            </w:pPr>
            <w:r>
              <w:rPr>
                <w:rFonts w:ascii="Arial" w:cs="Arial" w:eastAsia="Arial" w:hAnsi="Arial"/>
                <w:b/>
              </w:rPr>
              <w:t xml:space="preserve">     </w:t>
            </w:r>
            <w:r>
              <w:rPr>
                <w:rFonts w:ascii="Arial" w:cs="Arial" w:hAnsi="Arial"/>
                <w:b/>
              </w:rPr>
              <w:t>Sexo</w:t>
            </w:r>
          </w:p>
        </w:tc>
        <w:tc>
          <w:tcPr>
            <w:tcW w:w="1417" w:type="dxa"/>
            <w:tcBorders>
              <w:top w:val="single" w:sz="4" w:space="0" w:color="000000"/>
              <w:left w:val="single" w:sz="4" w:space="0" w:color="000000"/>
              <w:bottom w:val="single" w:sz="4" w:space="0" w:color="000000"/>
            </w:tcBorders>
          </w:tcPr>
          <w:p>
            <w:pPr>
              <w:pStyle w:val="style0"/>
              <w:tabs>
                <w:tab w:val="left" w:leader="none" w:pos="3523"/>
              </w:tabs>
              <w:snapToGrid w:val="false"/>
              <w:spacing w:lineRule="auto" w:line="360"/>
              <w:jc w:val="both"/>
              <w:rPr>
                <w:rFonts w:ascii="Arial" w:cs="Arial" w:hAnsi="Arial"/>
              </w:rPr>
            </w:pPr>
          </w:p>
        </w:tc>
        <w:tc>
          <w:tcPr>
            <w:tcW w:w="1417" w:type="dxa"/>
            <w:tcBorders>
              <w:top w:val="single" w:sz="4" w:space="0" w:color="000000"/>
              <w:left w:val="single" w:sz="4" w:space="0" w:color="000000"/>
              <w:bottom w:val="single" w:sz="4" w:space="0" w:color="000000"/>
            </w:tcBorders>
          </w:tcPr>
          <w:p>
            <w:pPr>
              <w:pStyle w:val="style0"/>
              <w:tabs>
                <w:tab w:val="left" w:leader="none" w:pos="3523"/>
              </w:tabs>
              <w:snapToGrid w:val="false"/>
              <w:spacing w:lineRule="auto" w:line="360"/>
              <w:jc w:val="both"/>
              <w:rPr>
                <w:rFonts w:ascii="Arial" w:cs="Arial" w:hAnsi="Arial"/>
              </w:rPr>
            </w:pPr>
          </w:p>
        </w:tc>
        <w:tc>
          <w:tcPr>
            <w:tcW w:w="1144" w:type="dxa"/>
            <w:tcBorders>
              <w:top w:val="single" w:sz="4" w:space="0" w:color="000000"/>
              <w:left w:val="single" w:sz="4" w:space="0" w:color="000000"/>
              <w:bottom w:val="single" w:sz="4" w:space="0" w:color="000000"/>
              <w:right w:val="single" w:sz="4" w:space="0" w:color="ffffff"/>
            </w:tcBorders>
          </w:tcPr>
          <w:p>
            <w:pPr>
              <w:pStyle w:val="style0"/>
              <w:tabs>
                <w:tab w:val="left" w:leader="none" w:pos="3523"/>
              </w:tabs>
              <w:snapToGrid w:val="false"/>
              <w:spacing w:lineRule="auto" w:line="360"/>
              <w:jc w:val="both"/>
              <w:rPr>
                <w:rFonts w:ascii="Arial" w:cs="Arial" w:hAnsi="Arial"/>
              </w:rPr>
            </w:pPr>
          </w:p>
        </w:tc>
      </w:tr>
      <w:tr>
        <w:tblPrEx/>
        <w:trPr/>
        <w:tc>
          <w:tcPr>
            <w:tcW w:w="2235" w:type="dxa"/>
            <w:tcBorders>
              <w:top w:val="single" w:sz="4" w:space="0" w:color="000000"/>
              <w:left w:val="single" w:sz="4" w:space="0" w:color="ffffff"/>
              <w:bottom w:val="single" w:sz="4" w:space="0" w:color="000000"/>
            </w:tcBorders>
          </w:tcPr>
          <w:p>
            <w:pPr>
              <w:pStyle w:val="style0"/>
              <w:tabs>
                <w:tab w:val="left" w:leader="none" w:pos="3523"/>
              </w:tabs>
              <w:spacing w:lineRule="auto" w:line="360"/>
              <w:jc w:val="both"/>
              <w:rPr>
                <w:rFonts w:ascii="Arial" w:cs="Arial" w:hAnsi="Arial"/>
              </w:rPr>
            </w:pPr>
            <w:r>
              <w:rPr>
                <w:rFonts w:ascii="Arial" w:cs="Arial" w:hAnsi="Arial"/>
                <w:b/>
              </w:rPr>
              <w:t>Grupo de edades</w:t>
            </w:r>
          </w:p>
        </w:tc>
        <w:tc>
          <w:tcPr>
            <w:tcW w:w="1417" w:type="dxa"/>
            <w:tcBorders>
              <w:top w:val="single" w:sz="4" w:space="0" w:color="000000"/>
              <w:left w:val="single" w:sz="4" w:space="0" w:color="000000"/>
              <w:bottom w:val="single" w:sz="4" w:space="0" w:color="000000"/>
            </w:tcBorders>
          </w:tcPr>
          <w:p>
            <w:pPr>
              <w:pStyle w:val="style0"/>
              <w:tabs>
                <w:tab w:val="left" w:leader="none" w:pos="3523"/>
              </w:tabs>
              <w:spacing w:lineRule="auto" w:line="360"/>
              <w:jc w:val="both"/>
              <w:rPr>
                <w:rFonts w:ascii="Arial" w:cs="Arial" w:hAnsi="Arial"/>
              </w:rPr>
            </w:pPr>
            <w:r>
              <w:rPr>
                <w:rFonts w:ascii="Arial" w:cs="Arial" w:hAnsi="Arial"/>
                <w:b/>
              </w:rPr>
              <w:t>F</w:t>
            </w:r>
          </w:p>
        </w:tc>
        <w:tc>
          <w:tcPr>
            <w:tcW w:w="1417" w:type="dxa"/>
            <w:tcBorders>
              <w:top w:val="single" w:sz="4" w:space="0" w:color="000000"/>
              <w:left w:val="single" w:sz="4" w:space="0" w:color="000000"/>
              <w:bottom w:val="single" w:sz="4" w:space="0" w:color="000000"/>
            </w:tcBorders>
          </w:tcPr>
          <w:p>
            <w:pPr>
              <w:pStyle w:val="style0"/>
              <w:tabs>
                <w:tab w:val="left" w:leader="none" w:pos="3523"/>
              </w:tabs>
              <w:spacing w:lineRule="auto" w:line="360"/>
              <w:jc w:val="both"/>
              <w:rPr>
                <w:rFonts w:ascii="Arial" w:cs="Arial" w:hAnsi="Arial"/>
              </w:rPr>
            </w:pPr>
            <w:r>
              <w:rPr>
                <w:rFonts w:ascii="Arial" w:cs="Arial" w:hAnsi="Arial"/>
                <w:b/>
              </w:rPr>
              <w:t>M</w:t>
            </w:r>
          </w:p>
        </w:tc>
        <w:tc>
          <w:tcPr>
            <w:tcW w:w="1417" w:type="dxa"/>
            <w:tcBorders>
              <w:top w:val="single" w:sz="4" w:space="0" w:color="000000"/>
              <w:left w:val="single" w:sz="4" w:space="0" w:color="000000"/>
              <w:bottom w:val="single" w:sz="4" w:space="0" w:color="000000"/>
            </w:tcBorders>
          </w:tcPr>
          <w:p>
            <w:pPr>
              <w:pStyle w:val="style0"/>
              <w:tabs>
                <w:tab w:val="left" w:leader="none" w:pos="3523"/>
              </w:tabs>
              <w:spacing w:lineRule="auto" w:line="360"/>
              <w:jc w:val="both"/>
              <w:rPr>
                <w:rFonts w:ascii="Arial" w:cs="Arial" w:hAnsi="Arial"/>
              </w:rPr>
            </w:pPr>
            <w:r>
              <w:rPr>
                <w:rFonts w:ascii="Arial" w:cs="Arial" w:hAnsi="Arial"/>
                <w:b/>
              </w:rPr>
              <w:t>Total</w:t>
            </w:r>
          </w:p>
        </w:tc>
        <w:tc>
          <w:tcPr>
            <w:tcW w:w="1144" w:type="dxa"/>
            <w:tcBorders>
              <w:top w:val="single" w:sz="4" w:space="0" w:color="000000"/>
              <w:left w:val="single" w:sz="4" w:space="0" w:color="000000"/>
              <w:bottom w:val="single" w:sz="4" w:space="0" w:color="000000"/>
              <w:right w:val="single" w:sz="4" w:space="0" w:color="ffffff"/>
            </w:tcBorders>
          </w:tcPr>
          <w:p>
            <w:pPr>
              <w:pStyle w:val="style0"/>
              <w:tabs>
                <w:tab w:val="left" w:leader="none" w:pos="3523"/>
              </w:tabs>
              <w:spacing w:lineRule="auto" w:line="360"/>
              <w:jc w:val="both"/>
              <w:rPr>
                <w:rFonts w:ascii="Arial" w:cs="Arial" w:hAnsi="Arial"/>
              </w:rPr>
            </w:pPr>
            <w:r>
              <w:rPr>
                <w:rFonts w:ascii="Arial" w:cs="Arial" w:hAnsi="Arial"/>
                <w:b/>
              </w:rPr>
              <w:t>%</w:t>
            </w:r>
          </w:p>
        </w:tc>
      </w:tr>
      <w:tr>
        <w:tblPrEx/>
        <w:trPr/>
        <w:tc>
          <w:tcPr>
            <w:tcW w:w="2235" w:type="dxa"/>
            <w:tcBorders>
              <w:top w:val="single" w:sz="4" w:space="0" w:color="000000"/>
              <w:left w:val="single" w:sz="4" w:space="0" w:color="ffffff"/>
              <w:bottom w:val="single" w:sz="4" w:space="0" w:color="000000"/>
            </w:tcBorders>
          </w:tcPr>
          <w:p>
            <w:pPr>
              <w:pStyle w:val="style0"/>
              <w:tabs>
                <w:tab w:val="left" w:leader="none" w:pos="3523"/>
              </w:tabs>
              <w:spacing w:lineRule="auto" w:line="360"/>
              <w:jc w:val="both"/>
              <w:rPr>
                <w:rFonts w:ascii="Arial" w:cs="Arial" w:hAnsi="Arial"/>
              </w:rPr>
            </w:pPr>
            <w:r>
              <w:rPr>
                <w:rFonts w:ascii="Arial" w:cs="Arial" w:hAnsi="Arial"/>
                <w:b/>
              </w:rPr>
              <w:t>20-30</w:t>
            </w:r>
          </w:p>
        </w:tc>
        <w:tc>
          <w:tcPr>
            <w:tcW w:w="1417" w:type="dxa"/>
            <w:tcBorders>
              <w:top w:val="single" w:sz="4" w:space="0" w:color="000000"/>
              <w:left w:val="single" w:sz="4" w:space="0" w:color="000000"/>
              <w:bottom w:val="single" w:sz="4" w:space="0" w:color="000000"/>
            </w:tcBorders>
          </w:tcPr>
          <w:p>
            <w:pPr>
              <w:pStyle w:val="style0"/>
              <w:tabs>
                <w:tab w:val="left" w:leader="none" w:pos="3523"/>
              </w:tabs>
              <w:spacing w:lineRule="auto" w:line="360"/>
              <w:jc w:val="both"/>
              <w:rPr>
                <w:rFonts w:ascii="Arial" w:cs="Arial" w:hAnsi="Arial"/>
              </w:rPr>
            </w:pPr>
            <w:r>
              <w:rPr>
                <w:rFonts w:ascii="Arial" w:cs="Arial" w:hAnsi="Arial"/>
                <w:b/>
              </w:rPr>
              <w:t>10</w:t>
            </w:r>
          </w:p>
        </w:tc>
        <w:tc>
          <w:tcPr>
            <w:tcW w:w="1417" w:type="dxa"/>
            <w:tcBorders>
              <w:top w:val="single" w:sz="4" w:space="0" w:color="000000"/>
              <w:left w:val="single" w:sz="4" w:space="0" w:color="000000"/>
              <w:bottom w:val="single" w:sz="4" w:space="0" w:color="000000"/>
            </w:tcBorders>
          </w:tcPr>
          <w:p>
            <w:pPr>
              <w:pStyle w:val="style0"/>
              <w:tabs>
                <w:tab w:val="left" w:leader="none" w:pos="3523"/>
              </w:tabs>
              <w:spacing w:lineRule="auto" w:line="360"/>
              <w:jc w:val="both"/>
              <w:rPr>
                <w:rFonts w:ascii="Arial" w:cs="Arial" w:hAnsi="Arial"/>
              </w:rPr>
            </w:pPr>
            <w:r>
              <w:rPr>
                <w:rFonts w:ascii="Arial" w:cs="Arial" w:hAnsi="Arial"/>
                <w:b/>
              </w:rPr>
              <w:t>15</w:t>
            </w:r>
          </w:p>
        </w:tc>
        <w:tc>
          <w:tcPr>
            <w:tcW w:w="1417" w:type="dxa"/>
            <w:tcBorders>
              <w:top w:val="single" w:sz="4" w:space="0" w:color="000000"/>
              <w:left w:val="single" w:sz="4" w:space="0" w:color="000000"/>
              <w:bottom w:val="single" w:sz="4" w:space="0" w:color="000000"/>
            </w:tcBorders>
          </w:tcPr>
          <w:p>
            <w:pPr>
              <w:pStyle w:val="style0"/>
              <w:tabs>
                <w:tab w:val="left" w:leader="none" w:pos="3523"/>
              </w:tabs>
              <w:spacing w:lineRule="auto" w:line="360"/>
              <w:jc w:val="both"/>
              <w:rPr>
                <w:rFonts w:ascii="Arial" w:cs="Arial" w:hAnsi="Arial"/>
              </w:rPr>
            </w:pPr>
            <w:r>
              <w:rPr>
                <w:rFonts w:ascii="Arial" w:cs="Arial" w:hAnsi="Arial"/>
                <w:b/>
              </w:rPr>
              <w:t>25</w:t>
            </w:r>
          </w:p>
        </w:tc>
        <w:tc>
          <w:tcPr>
            <w:tcW w:w="1144" w:type="dxa"/>
            <w:tcBorders>
              <w:top w:val="single" w:sz="4" w:space="0" w:color="000000"/>
              <w:left w:val="single" w:sz="4" w:space="0" w:color="000000"/>
              <w:bottom w:val="single" w:sz="4" w:space="0" w:color="000000"/>
              <w:right w:val="single" w:sz="4" w:space="0" w:color="ffffff"/>
            </w:tcBorders>
          </w:tcPr>
          <w:p>
            <w:pPr>
              <w:pStyle w:val="style0"/>
              <w:tabs>
                <w:tab w:val="left" w:leader="none" w:pos="3523"/>
              </w:tabs>
              <w:spacing w:lineRule="auto" w:line="360"/>
              <w:jc w:val="both"/>
              <w:rPr>
                <w:rFonts w:ascii="Arial" w:cs="Arial" w:hAnsi="Arial"/>
              </w:rPr>
            </w:pPr>
            <w:r>
              <w:rPr>
                <w:rFonts w:ascii="Arial" w:cs="Arial" w:hAnsi="Arial"/>
                <w:b/>
              </w:rPr>
              <w:t>17.87</w:t>
            </w:r>
          </w:p>
        </w:tc>
      </w:tr>
      <w:tr>
        <w:tblPrEx/>
        <w:trPr/>
        <w:tc>
          <w:tcPr>
            <w:tcW w:w="2235" w:type="dxa"/>
            <w:tcBorders>
              <w:top w:val="single" w:sz="4" w:space="0" w:color="000000"/>
              <w:left w:val="single" w:sz="4" w:space="0" w:color="ffffff"/>
              <w:bottom w:val="single" w:sz="4" w:space="0" w:color="000000"/>
            </w:tcBorders>
          </w:tcPr>
          <w:p>
            <w:pPr>
              <w:pStyle w:val="style0"/>
              <w:tabs>
                <w:tab w:val="left" w:leader="none" w:pos="3523"/>
              </w:tabs>
              <w:spacing w:lineRule="auto" w:line="360"/>
              <w:jc w:val="both"/>
              <w:rPr>
                <w:rFonts w:ascii="Arial" w:cs="Arial" w:hAnsi="Arial"/>
              </w:rPr>
            </w:pPr>
            <w:r>
              <w:rPr>
                <w:rFonts w:ascii="Arial" w:cs="Arial" w:hAnsi="Arial"/>
                <w:b/>
              </w:rPr>
              <w:t>30-40</w:t>
            </w:r>
          </w:p>
        </w:tc>
        <w:tc>
          <w:tcPr>
            <w:tcW w:w="1417" w:type="dxa"/>
            <w:tcBorders>
              <w:top w:val="single" w:sz="4" w:space="0" w:color="000000"/>
              <w:left w:val="single" w:sz="4" w:space="0" w:color="000000"/>
              <w:bottom w:val="single" w:sz="4" w:space="0" w:color="000000"/>
            </w:tcBorders>
          </w:tcPr>
          <w:p>
            <w:pPr>
              <w:pStyle w:val="style0"/>
              <w:tabs>
                <w:tab w:val="left" w:leader="none" w:pos="3523"/>
              </w:tabs>
              <w:spacing w:lineRule="auto" w:line="360"/>
              <w:jc w:val="both"/>
              <w:rPr>
                <w:rFonts w:ascii="Arial" w:cs="Arial" w:hAnsi="Arial"/>
              </w:rPr>
            </w:pPr>
            <w:r>
              <w:rPr>
                <w:rFonts w:ascii="Arial" w:cs="Arial" w:hAnsi="Arial"/>
                <w:b/>
              </w:rPr>
              <w:t>5</w:t>
            </w:r>
          </w:p>
        </w:tc>
        <w:tc>
          <w:tcPr>
            <w:tcW w:w="1417" w:type="dxa"/>
            <w:tcBorders>
              <w:top w:val="single" w:sz="4" w:space="0" w:color="000000"/>
              <w:left w:val="single" w:sz="4" w:space="0" w:color="000000"/>
              <w:bottom w:val="single" w:sz="4" w:space="0" w:color="000000"/>
            </w:tcBorders>
          </w:tcPr>
          <w:p>
            <w:pPr>
              <w:pStyle w:val="style0"/>
              <w:tabs>
                <w:tab w:val="left" w:leader="none" w:pos="3523"/>
              </w:tabs>
              <w:spacing w:lineRule="auto" w:line="360"/>
              <w:jc w:val="both"/>
              <w:rPr>
                <w:rFonts w:ascii="Arial" w:cs="Arial" w:hAnsi="Arial"/>
              </w:rPr>
            </w:pPr>
            <w:r>
              <w:rPr>
                <w:rFonts w:ascii="Arial" w:cs="Arial" w:hAnsi="Arial"/>
                <w:b/>
              </w:rPr>
              <w:t>15</w:t>
            </w:r>
          </w:p>
        </w:tc>
        <w:tc>
          <w:tcPr>
            <w:tcW w:w="1417" w:type="dxa"/>
            <w:tcBorders>
              <w:top w:val="single" w:sz="4" w:space="0" w:color="000000"/>
              <w:left w:val="single" w:sz="4" w:space="0" w:color="000000"/>
              <w:bottom w:val="single" w:sz="4" w:space="0" w:color="000000"/>
            </w:tcBorders>
          </w:tcPr>
          <w:p>
            <w:pPr>
              <w:pStyle w:val="style0"/>
              <w:tabs>
                <w:tab w:val="left" w:leader="none" w:pos="3523"/>
              </w:tabs>
              <w:spacing w:lineRule="auto" w:line="360"/>
              <w:jc w:val="both"/>
              <w:rPr>
                <w:rFonts w:ascii="Arial" w:cs="Arial" w:hAnsi="Arial"/>
              </w:rPr>
            </w:pPr>
            <w:r>
              <w:rPr>
                <w:rFonts w:ascii="Arial" w:cs="Arial" w:hAnsi="Arial"/>
                <w:b/>
              </w:rPr>
              <w:t>20</w:t>
            </w:r>
          </w:p>
        </w:tc>
        <w:tc>
          <w:tcPr>
            <w:tcW w:w="1144" w:type="dxa"/>
            <w:tcBorders>
              <w:top w:val="single" w:sz="4" w:space="0" w:color="000000"/>
              <w:left w:val="single" w:sz="4" w:space="0" w:color="000000"/>
              <w:bottom w:val="single" w:sz="4" w:space="0" w:color="000000"/>
              <w:right w:val="single" w:sz="4" w:space="0" w:color="ffffff"/>
            </w:tcBorders>
          </w:tcPr>
          <w:p>
            <w:pPr>
              <w:pStyle w:val="style0"/>
              <w:tabs>
                <w:tab w:val="left" w:leader="none" w:pos="3523"/>
              </w:tabs>
              <w:spacing w:lineRule="auto" w:line="360"/>
              <w:jc w:val="both"/>
              <w:rPr>
                <w:rFonts w:ascii="Arial" w:cs="Arial" w:hAnsi="Arial"/>
              </w:rPr>
            </w:pPr>
            <w:r>
              <w:rPr>
                <w:rFonts w:ascii="Arial" w:cs="Arial" w:hAnsi="Arial"/>
                <w:b/>
              </w:rPr>
              <w:t>14.28</w:t>
            </w:r>
          </w:p>
        </w:tc>
      </w:tr>
      <w:tr>
        <w:tblPrEx/>
        <w:trPr/>
        <w:tc>
          <w:tcPr>
            <w:tcW w:w="2235" w:type="dxa"/>
            <w:tcBorders>
              <w:top w:val="single" w:sz="4" w:space="0" w:color="000000"/>
              <w:left w:val="single" w:sz="4" w:space="0" w:color="ffffff"/>
              <w:bottom w:val="single" w:sz="4" w:space="0" w:color="000000"/>
            </w:tcBorders>
          </w:tcPr>
          <w:p>
            <w:pPr>
              <w:pStyle w:val="style0"/>
              <w:tabs>
                <w:tab w:val="left" w:leader="none" w:pos="3523"/>
              </w:tabs>
              <w:spacing w:lineRule="auto" w:line="360"/>
              <w:jc w:val="both"/>
              <w:rPr>
                <w:rFonts w:ascii="Arial" w:cs="Arial" w:hAnsi="Arial"/>
              </w:rPr>
            </w:pPr>
            <w:r>
              <w:rPr>
                <w:rFonts w:ascii="Arial" w:cs="Arial" w:hAnsi="Arial"/>
                <w:b/>
              </w:rPr>
              <w:t>40-50</w:t>
            </w:r>
          </w:p>
        </w:tc>
        <w:tc>
          <w:tcPr>
            <w:tcW w:w="1417" w:type="dxa"/>
            <w:tcBorders>
              <w:top w:val="single" w:sz="4" w:space="0" w:color="000000"/>
              <w:left w:val="single" w:sz="4" w:space="0" w:color="000000"/>
              <w:bottom w:val="single" w:sz="4" w:space="0" w:color="000000"/>
            </w:tcBorders>
          </w:tcPr>
          <w:p>
            <w:pPr>
              <w:pStyle w:val="style0"/>
              <w:tabs>
                <w:tab w:val="left" w:leader="none" w:pos="3523"/>
              </w:tabs>
              <w:spacing w:lineRule="auto" w:line="360"/>
              <w:jc w:val="both"/>
              <w:rPr>
                <w:rFonts w:ascii="Arial" w:cs="Arial" w:hAnsi="Arial"/>
              </w:rPr>
            </w:pPr>
            <w:r>
              <w:rPr>
                <w:rFonts w:ascii="Arial" w:cs="Arial" w:hAnsi="Arial"/>
                <w:b/>
              </w:rPr>
              <w:t>30</w:t>
            </w:r>
          </w:p>
        </w:tc>
        <w:tc>
          <w:tcPr>
            <w:tcW w:w="1417" w:type="dxa"/>
            <w:tcBorders>
              <w:top w:val="single" w:sz="4" w:space="0" w:color="000000"/>
              <w:left w:val="single" w:sz="4" w:space="0" w:color="000000"/>
              <w:bottom w:val="single" w:sz="4" w:space="0" w:color="000000"/>
            </w:tcBorders>
          </w:tcPr>
          <w:p>
            <w:pPr>
              <w:pStyle w:val="style0"/>
              <w:tabs>
                <w:tab w:val="left" w:leader="none" w:pos="3523"/>
              </w:tabs>
              <w:spacing w:lineRule="auto" w:line="360"/>
              <w:jc w:val="both"/>
              <w:rPr>
                <w:rFonts w:ascii="Arial" w:cs="Arial" w:hAnsi="Arial"/>
              </w:rPr>
            </w:pPr>
            <w:r>
              <w:rPr>
                <w:rFonts w:ascii="Arial" w:cs="Arial" w:hAnsi="Arial"/>
                <w:b/>
              </w:rPr>
              <w:t>30</w:t>
            </w:r>
          </w:p>
        </w:tc>
        <w:tc>
          <w:tcPr>
            <w:tcW w:w="1417" w:type="dxa"/>
            <w:tcBorders>
              <w:top w:val="single" w:sz="4" w:space="0" w:color="000000"/>
              <w:left w:val="single" w:sz="4" w:space="0" w:color="000000"/>
              <w:bottom w:val="single" w:sz="4" w:space="0" w:color="000000"/>
            </w:tcBorders>
          </w:tcPr>
          <w:p>
            <w:pPr>
              <w:pStyle w:val="style0"/>
              <w:tabs>
                <w:tab w:val="left" w:leader="none" w:pos="3523"/>
              </w:tabs>
              <w:spacing w:lineRule="auto" w:line="360"/>
              <w:jc w:val="both"/>
              <w:rPr>
                <w:rFonts w:ascii="Arial" w:cs="Arial" w:hAnsi="Arial"/>
              </w:rPr>
            </w:pPr>
            <w:r>
              <w:rPr>
                <w:rFonts w:ascii="Arial" w:cs="Arial" w:hAnsi="Arial"/>
                <w:b/>
              </w:rPr>
              <w:t>60</w:t>
            </w:r>
          </w:p>
        </w:tc>
        <w:tc>
          <w:tcPr>
            <w:tcW w:w="1144" w:type="dxa"/>
            <w:tcBorders>
              <w:top w:val="single" w:sz="4" w:space="0" w:color="000000"/>
              <w:left w:val="single" w:sz="4" w:space="0" w:color="000000"/>
              <w:bottom w:val="single" w:sz="4" w:space="0" w:color="000000"/>
              <w:right w:val="single" w:sz="4" w:space="0" w:color="ffffff"/>
            </w:tcBorders>
          </w:tcPr>
          <w:p>
            <w:pPr>
              <w:pStyle w:val="style0"/>
              <w:tabs>
                <w:tab w:val="left" w:leader="none" w:pos="3523"/>
              </w:tabs>
              <w:spacing w:lineRule="auto" w:line="360"/>
              <w:jc w:val="both"/>
              <w:rPr>
                <w:rFonts w:ascii="Arial" w:cs="Arial" w:hAnsi="Arial"/>
              </w:rPr>
            </w:pPr>
            <w:r>
              <w:rPr>
                <w:rFonts w:ascii="Arial" w:cs="Arial" w:hAnsi="Arial"/>
                <w:b/>
              </w:rPr>
              <w:t>42.85</w:t>
            </w:r>
          </w:p>
        </w:tc>
      </w:tr>
      <w:tr>
        <w:tblPrEx/>
        <w:trPr/>
        <w:tc>
          <w:tcPr>
            <w:tcW w:w="2235" w:type="dxa"/>
            <w:tcBorders>
              <w:top w:val="single" w:sz="4" w:space="0" w:color="000000"/>
              <w:left w:val="single" w:sz="4" w:space="0" w:color="ffffff"/>
              <w:bottom w:val="single" w:sz="4" w:space="0" w:color="000000"/>
            </w:tcBorders>
          </w:tcPr>
          <w:p>
            <w:pPr>
              <w:pStyle w:val="style0"/>
              <w:tabs>
                <w:tab w:val="left" w:leader="none" w:pos="3523"/>
              </w:tabs>
              <w:spacing w:lineRule="auto" w:line="360"/>
              <w:jc w:val="both"/>
              <w:rPr>
                <w:rFonts w:ascii="Arial" w:cs="Arial" w:hAnsi="Arial"/>
              </w:rPr>
            </w:pPr>
            <w:r>
              <w:rPr>
                <w:rFonts w:ascii="Arial" w:cs="Arial" w:hAnsi="Arial"/>
                <w:b/>
              </w:rPr>
              <w:t>50-más</w:t>
            </w:r>
          </w:p>
        </w:tc>
        <w:tc>
          <w:tcPr>
            <w:tcW w:w="1417" w:type="dxa"/>
            <w:tcBorders>
              <w:top w:val="single" w:sz="4" w:space="0" w:color="000000"/>
              <w:left w:val="single" w:sz="4" w:space="0" w:color="000000"/>
              <w:bottom w:val="single" w:sz="4" w:space="0" w:color="000000"/>
            </w:tcBorders>
          </w:tcPr>
          <w:p>
            <w:pPr>
              <w:pStyle w:val="style0"/>
              <w:tabs>
                <w:tab w:val="left" w:leader="none" w:pos="3523"/>
              </w:tabs>
              <w:spacing w:lineRule="auto" w:line="360"/>
              <w:jc w:val="both"/>
              <w:rPr>
                <w:rFonts w:ascii="Arial" w:cs="Arial" w:hAnsi="Arial"/>
              </w:rPr>
            </w:pPr>
            <w:r>
              <w:rPr>
                <w:rFonts w:ascii="Arial" w:cs="Arial" w:hAnsi="Arial"/>
                <w:b/>
              </w:rPr>
              <w:t>15</w:t>
            </w:r>
          </w:p>
        </w:tc>
        <w:tc>
          <w:tcPr>
            <w:tcW w:w="1417" w:type="dxa"/>
            <w:tcBorders>
              <w:top w:val="single" w:sz="4" w:space="0" w:color="000000"/>
              <w:left w:val="single" w:sz="4" w:space="0" w:color="000000"/>
              <w:bottom w:val="single" w:sz="4" w:space="0" w:color="000000"/>
            </w:tcBorders>
          </w:tcPr>
          <w:p>
            <w:pPr>
              <w:pStyle w:val="style0"/>
              <w:tabs>
                <w:tab w:val="left" w:leader="none" w:pos="3523"/>
              </w:tabs>
              <w:spacing w:lineRule="auto" w:line="360"/>
              <w:jc w:val="both"/>
              <w:rPr>
                <w:rFonts w:ascii="Arial" w:cs="Arial" w:hAnsi="Arial"/>
              </w:rPr>
            </w:pPr>
            <w:r>
              <w:rPr>
                <w:rFonts w:ascii="Arial" w:cs="Arial" w:hAnsi="Arial"/>
                <w:b/>
              </w:rPr>
              <w:t>20</w:t>
            </w:r>
          </w:p>
        </w:tc>
        <w:tc>
          <w:tcPr>
            <w:tcW w:w="1417" w:type="dxa"/>
            <w:tcBorders>
              <w:top w:val="single" w:sz="4" w:space="0" w:color="000000"/>
              <w:left w:val="single" w:sz="4" w:space="0" w:color="000000"/>
              <w:bottom w:val="single" w:sz="4" w:space="0" w:color="000000"/>
            </w:tcBorders>
          </w:tcPr>
          <w:p>
            <w:pPr>
              <w:pStyle w:val="style0"/>
              <w:tabs>
                <w:tab w:val="left" w:leader="none" w:pos="3523"/>
              </w:tabs>
              <w:spacing w:lineRule="auto" w:line="360"/>
              <w:jc w:val="both"/>
              <w:rPr>
                <w:rFonts w:ascii="Arial" w:cs="Arial" w:hAnsi="Arial"/>
              </w:rPr>
            </w:pPr>
            <w:r>
              <w:rPr>
                <w:rFonts w:ascii="Arial" w:cs="Arial" w:hAnsi="Arial"/>
                <w:b/>
              </w:rPr>
              <w:t>35</w:t>
            </w:r>
          </w:p>
        </w:tc>
        <w:tc>
          <w:tcPr>
            <w:tcW w:w="1144" w:type="dxa"/>
            <w:tcBorders>
              <w:top w:val="single" w:sz="4" w:space="0" w:color="000000"/>
              <w:left w:val="single" w:sz="4" w:space="0" w:color="000000"/>
              <w:bottom w:val="single" w:sz="4" w:space="0" w:color="000000"/>
              <w:right w:val="single" w:sz="4" w:space="0" w:color="ffffff"/>
            </w:tcBorders>
          </w:tcPr>
          <w:p>
            <w:pPr>
              <w:pStyle w:val="style0"/>
              <w:tabs>
                <w:tab w:val="left" w:leader="none" w:pos="3523"/>
              </w:tabs>
              <w:spacing w:lineRule="auto" w:line="360"/>
              <w:jc w:val="both"/>
              <w:rPr>
                <w:rFonts w:ascii="Arial" w:cs="Arial" w:hAnsi="Arial"/>
              </w:rPr>
            </w:pPr>
            <w:r>
              <w:rPr>
                <w:rFonts w:ascii="Arial" w:cs="Arial" w:hAnsi="Arial"/>
                <w:b/>
              </w:rPr>
              <w:t>25.00</w:t>
            </w:r>
          </w:p>
        </w:tc>
      </w:tr>
      <w:tr>
        <w:tblPrEx/>
        <w:trPr/>
        <w:tc>
          <w:tcPr>
            <w:tcW w:w="2235" w:type="dxa"/>
            <w:tcBorders>
              <w:top w:val="single" w:sz="4" w:space="0" w:color="000000"/>
              <w:left w:val="single" w:sz="4" w:space="0" w:color="ffffff"/>
              <w:bottom w:val="single" w:sz="4" w:space="0" w:color="000000"/>
            </w:tcBorders>
          </w:tcPr>
          <w:p>
            <w:pPr>
              <w:pStyle w:val="style0"/>
              <w:tabs>
                <w:tab w:val="left" w:leader="none" w:pos="3523"/>
              </w:tabs>
              <w:spacing w:lineRule="auto" w:line="360"/>
              <w:jc w:val="both"/>
              <w:rPr>
                <w:rFonts w:ascii="Arial" w:cs="Arial" w:hAnsi="Arial"/>
              </w:rPr>
            </w:pPr>
            <w:r>
              <w:rPr>
                <w:rFonts w:ascii="Arial" w:cs="Arial" w:hAnsi="Arial"/>
                <w:b/>
              </w:rPr>
              <w:t>Total</w:t>
            </w:r>
          </w:p>
        </w:tc>
        <w:tc>
          <w:tcPr>
            <w:tcW w:w="1417" w:type="dxa"/>
            <w:tcBorders>
              <w:top w:val="single" w:sz="4" w:space="0" w:color="000000"/>
              <w:left w:val="single" w:sz="4" w:space="0" w:color="000000"/>
              <w:bottom w:val="single" w:sz="4" w:space="0" w:color="000000"/>
            </w:tcBorders>
          </w:tcPr>
          <w:p>
            <w:pPr>
              <w:pStyle w:val="style0"/>
              <w:tabs>
                <w:tab w:val="left" w:leader="none" w:pos="3523"/>
              </w:tabs>
              <w:spacing w:lineRule="auto" w:line="360"/>
              <w:jc w:val="both"/>
              <w:rPr>
                <w:rFonts w:ascii="Arial" w:cs="Arial" w:hAnsi="Arial"/>
              </w:rPr>
            </w:pPr>
            <w:r>
              <w:rPr>
                <w:rFonts w:ascii="Arial" w:cs="Arial" w:hAnsi="Arial"/>
                <w:b/>
              </w:rPr>
              <w:t>60</w:t>
            </w:r>
          </w:p>
        </w:tc>
        <w:tc>
          <w:tcPr>
            <w:tcW w:w="1417" w:type="dxa"/>
            <w:tcBorders>
              <w:top w:val="single" w:sz="4" w:space="0" w:color="000000"/>
              <w:left w:val="single" w:sz="4" w:space="0" w:color="000000"/>
              <w:bottom w:val="single" w:sz="4" w:space="0" w:color="000000"/>
            </w:tcBorders>
          </w:tcPr>
          <w:p>
            <w:pPr>
              <w:pStyle w:val="style0"/>
              <w:tabs>
                <w:tab w:val="left" w:leader="none" w:pos="3523"/>
              </w:tabs>
              <w:spacing w:lineRule="auto" w:line="360"/>
              <w:jc w:val="both"/>
              <w:rPr>
                <w:rFonts w:ascii="Arial" w:cs="Arial" w:hAnsi="Arial"/>
              </w:rPr>
            </w:pPr>
            <w:r>
              <w:rPr>
                <w:rFonts w:ascii="Arial" w:cs="Arial" w:hAnsi="Arial"/>
                <w:b/>
              </w:rPr>
              <w:t>80</w:t>
            </w:r>
          </w:p>
        </w:tc>
        <w:tc>
          <w:tcPr>
            <w:tcW w:w="1417" w:type="dxa"/>
            <w:tcBorders>
              <w:top w:val="single" w:sz="4" w:space="0" w:color="000000"/>
              <w:left w:val="single" w:sz="4" w:space="0" w:color="000000"/>
              <w:bottom w:val="single" w:sz="4" w:space="0" w:color="000000"/>
            </w:tcBorders>
          </w:tcPr>
          <w:p>
            <w:pPr>
              <w:pStyle w:val="style0"/>
              <w:tabs>
                <w:tab w:val="left" w:leader="none" w:pos="3523"/>
              </w:tabs>
              <w:spacing w:lineRule="auto" w:line="360"/>
              <w:jc w:val="both"/>
              <w:rPr>
                <w:rFonts w:ascii="Arial" w:cs="Arial" w:hAnsi="Arial"/>
              </w:rPr>
            </w:pPr>
            <w:r>
              <w:rPr>
                <w:rFonts w:ascii="Arial" w:cs="Arial" w:hAnsi="Arial"/>
                <w:b/>
              </w:rPr>
              <w:t>140</w:t>
            </w:r>
          </w:p>
        </w:tc>
        <w:tc>
          <w:tcPr>
            <w:tcW w:w="1144" w:type="dxa"/>
            <w:tcBorders>
              <w:top w:val="single" w:sz="4" w:space="0" w:color="000000"/>
              <w:left w:val="single" w:sz="4" w:space="0" w:color="000000"/>
              <w:bottom w:val="single" w:sz="4" w:space="0" w:color="000000"/>
              <w:right w:val="single" w:sz="4" w:space="0" w:color="ffffff"/>
            </w:tcBorders>
          </w:tcPr>
          <w:p>
            <w:pPr>
              <w:pStyle w:val="style0"/>
              <w:tabs>
                <w:tab w:val="left" w:leader="none" w:pos="3523"/>
              </w:tabs>
              <w:spacing w:lineRule="auto" w:line="360"/>
              <w:jc w:val="both"/>
              <w:rPr>
                <w:rFonts w:ascii="Arial" w:cs="Arial" w:hAnsi="Arial"/>
              </w:rPr>
            </w:pPr>
            <w:r>
              <w:rPr>
                <w:rFonts w:ascii="Arial" w:cs="Arial" w:hAnsi="Arial"/>
                <w:b/>
              </w:rPr>
              <w:t>100</w:t>
            </w:r>
          </w:p>
        </w:tc>
      </w:tr>
      <w:tr>
        <w:tblPrEx/>
        <w:trPr/>
        <w:tc>
          <w:tcPr>
            <w:tcW w:w="2235" w:type="dxa"/>
            <w:tcBorders>
              <w:top w:val="single" w:sz="4" w:space="0" w:color="000000"/>
              <w:left w:val="single" w:sz="4" w:space="0" w:color="ffffff"/>
              <w:bottom w:val="single" w:sz="4" w:space="0" w:color="000000"/>
            </w:tcBorders>
          </w:tcPr>
          <w:p>
            <w:pPr>
              <w:pStyle w:val="style0"/>
              <w:tabs>
                <w:tab w:val="left" w:leader="none" w:pos="3523"/>
              </w:tabs>
              <w:spacing w:lineRule="auto" w:line="360"/>
              <w:jc w:val="both"/>
              <w:rPr>
                <w:rFonts w:ascii="Arial" w:cs="Arial" w:hAnsi="Arial"/>
              </w:rPr>
            </w:pPr>
            <w:r>
              <w:rPr>
                <w:rFonts w:ascii="Arial" w:cs="Arial" w:eastAsia="Arial" w:hAnsi="Arial"/>
                <w:b/>
              </w:rPr>
              <w:t xml:space="preserve">             </w:t>
            </w:r>
            <w:r>
              <w:rPr>
                <w:rFonts w:ascii="Arial" w:cs="Arial" w:hAnsi="Arial"/>
                <w:b/>
              </w:rPr>
              <w:t>%</w:t>
            </w:r>
          </w:p>
        </w:tc>
        <w:tc>
          <w:tcPr>
            <w:tcW w:w="1417" w:type="dxa"/>
            <w:tcBorders>
              <w:top w:val="single" w:sz="4" w:space="0" w:color="000000"/>
              <w:left w:val="single" w:sz="4" w:space="0" w:color="000000"/>
              <w:bottom w:val="single" w:sz="4" w:space="0" w:color="000000"/>
            </w:tcBorders>
          </w:tcPr>
          <w:p>
            <w:pPr>
              <w:pStyle w:val="style0"/>
              <w:tabs>
                <w:tab w:val="left" w:leader="none" w:pos="3523"/>
              </w:tabs>
              <w:spacing w:lineRule="auto" w:line="360"/>
              <w:jc w:val="both"/>
              <w:rPr>
                <w:rFonts w:ascii="Arial" w:cs="Arial" w:hAnsi="Arial"/>
              </w:rPr>
            </w:pPr>
            <w:r>
              <w:rPr>
                <w:rFonts w:ascii="Arial" w:cs="Arial" w:hAnsi="Arial"/>
                <w:b/>
              </w:rPr>
              <w:t>42.86</w:t>
            </w:r>
          </w:p>
        </w:tc>
        <w:tc>
          <w:tcPr>
            <w:tcW w:w="1417" w:type="dxa"/>
            <w:tcBorders>
              <w:top w:val="single" w:sz="4" w:space="0" w:color="000000"/>
              <w:left w:val="single" w:sz="4" w:space="0" w:color="000000"/>
              <w:bottom w:val="single" w:sz="4" w:space="0" w:color="000000"/>
            </w:tcBorders>
          </w:tcPr>
          <w:p>
            <w:pPr>
              <w:pStyle w:val="style0"/>
              <w:tabs>
                <w:tab w:val="left" w:leader="none" w:pos="3523"/>
              </w:tabs>
              <w:spacing w:lineRule="auto" w:line="360"/>
              <w:jc w:val="both"/>
              <w:rPr>
                <w:rFonts w:ascii="Arial" w:cs="Arial" w:hAnsi="Arial"/>
              </w:rPr>
            </w:pPr>
            <w:r>
              <w:rPr>
                <w:rFonts w:ascii="Arial" w:cs="Arial" w:hAnsi="Arial"/>
                <w:b/>
              </w:rPr>
              <w:t>57.14</w:t>
            </w:r>
          </w:p>
        </w:tc>
        <w:tc>
          <w:tcPr>
            <w:tcW w:w="1417" w:type="dxa"/>
            <w:tcBorders>
              <w:top w:val="single" w:sz="4" w:space="0" w:color="000000"/>
              <w:left w:val="single" w:sz="4" w:space="0" w:color="000000"/>
              <w:bottom w:val="single" w:sz="4" w:space="0" w:color="000000"/>
            </w:tcBorders>
          </w:tcPr>
          <w:p>
            <w:pPr>
              <w:pStyle w:val="style0"/>
              <w:tabs>
                <w:tab w:val="left" w:leader="none" w:pos="3523"/>
              </w:tabs>
              <w:spacing w:lineRule="auto" w:line="360"/>
              <w:jc w:val="both"/>
              <w:rPr>
                <w:rFonts w:ascii="Arial" w:cs="Arial" w:hAnsi="Arial"/>
              </w:rPr>
            </w:pPr>
            <w:r>
              <w:rPr>
                <w:rFonts w:ascii="Arial" w:cs="Arial" w:hAnsi="Arial"/>
                <w:b/>
              </w:rPr>
              <w:t>100</w:t>
            </w:r>
          </w:p>
        </w:tc>
        <w:tc>
          <w:tcPr>
            <w:tcW w:w="1144" w:type="dxa"/>
            <w:tcBorders>
              <w:top w:val="single" w:sz="4" w:space="0" w:color="000000"/>
              <w:left w:val="single" w:sz="4" w:space="0" w:color="000000"/>
              <w:bottom w:val="single" w:sz="4" w:space="0" w:color="000000"/>
              <w:right w:val="single" w:sz="4" w:space="0" w:color="ffffff"/>
            </w:tcBorders>
          </w:tcPr>
          <w:p>
            <w:pPr>
              <w:pStyle w:val="style0"/>
              <w:tabs>
                <w:tab w:val="left" w:leader="none" w:pos="3523"/>
              </w:tabs>
              <w:snapToGrid w:val="false"/>
              <w:spacing w:lineRule="auto" w:line="360"/>
              <w:jc w:val="both"/>
              <w:rPr>
                <w:rFonts w:ascii="Arial" w:cs="Arial" w:hAnsi="Arial"/>
              </w:rPr>
            </w:pPr>
          </w:p>
        </w:tc>
      </w:tr>
    </w:tbl>
    <w:p>
      <w:pPr>
        <w:pStyle w:val="style0"/>
        <w:spacing w:lineRule="auto" w:line="360"/>
        <w:jc w:val="both"/>
        <w:rPr>
          <w:rFonts w:ascii="Arial" w:cs="Arial" w:hAnsi="Arial"/>
        </w:rPr>
      </w:pPr>
    </w:p>
    <w:p>
      <w:pPr>
        <w:pStyle w:val="style0"/>
        <w:spacing w:lineRule="auto" w:line="360"/>
        <w:jc w:val="both"/>
        <w:rPr>
          <w:rFonts w:ascii="Arial" w:cs="Arial" w:hAnsi="Arial"/>
        </w:rPr>
      </w:pPr>
      <w:r>
        <w:rPr>
          <w:rFonts w:ascii="Arial" w:cs="Arial" w:hAnsi="Arial"/>
        </w:rPr>
        <w:t>Fuente: Datos primarios del autor</w:t>
      </w:r>
    </w:p>
    <w:p>
      <w:pPr>
        <w:pStyle w:val="style0"/>
        <w:spacing w:lineRule="auto" w:line="360"/>
        <w:jc w:val="both"/>
        <w:rPr>
          <w:rFonts w:ascii="Arial" w:cs="Arial" w:hAnsi="Arial"/>
        </w:rPr>
      </w:pPr>
      <w:r>
        <w:rPr>
          <w:rFonts w:ascii="Arial" w:cs="Arial" w:hAnsi="Arial"/>
        </w:rPr>
        <w:t>La Tabla 1 representa la distribución de los pacientes del Consultorio 13 del Policlínico Mario Gutiérrez del municipio Holguín durante el año 2017 según sexo y grupo de edades, evidenciándose que del total de pacientes de la muestra 60 de ellos pertenecen al grupo de edad de 40 a 50 años lo que representa el 42, 85 % del total, lo que demuestra la elevada incidencia de los factores de riesgo coronarios en esta etapa de la vida. Además predominó el sexo masculino con 80 pacientes del total, hecho que representa el 57.14% del total de la muestra estudiada.</w:t>
      </w:r>
    </w:p>
    <w:p>
      <w:pPr>
        <w:pStyle w:val="style0"/>
        <w:shd w:val="clear" w:color="auto" w:fill="ffffff"/>
        <w:spacing w:before="100" w:beforeAutospacing="true" w:after="100" w:afterAutospacing="true" w:lineRule="auto" w:line="360"/>
        <w:jc w:val="both"/>
        <w:rPr>
          <w:rFonts w:ascii="Arial" w:cs="Arial" w:hAnsi="Arial"/>
          <w:b/>
          <w:bCs/>
        </w:rPr>
      </w:pPr>
      <w:r>
        <w:rPr>
          <w:rFonts w:ascii="Arial" w:cs="Arial" w:eastAsia="Calibri" w:hAnsi="Arial"/>
          <w:b/>
          <w:bCs/>
          <w:u w:val="single"/>
        </w:rPr>
        <w:t>Tabla2:</w:t>
      </w:r>
      <w:r>
        <w:rPr>
          <w:rFonts w:ascii="Arial" w:cs="Arial" w:eastAsia="Calibri" w:hAnsi="Arial"/>
          <w:b/>
          <w:bCs/>
        </w:rPr>
        <w:t xml:space="preserve"> Distribución de pacientes según nivel de escolaridad. Consultorio </w:t>
      </w:r>
      <w:r>
        <w:rPr>
          <w:rFonts w:ascii="Arial" w:cs="Arial" w:hAnsi="Arial"/>
          <w:b/>
          <w:bCs/>
        </w:rPr>
        <w:t xml:space="preserve">13. Policlínico </w:t>
      </w:r>
      <w:r>
        <w:rPr>
          <w:rFonts w:ascii="Arial" w:cs="Arial" w:hAnsi="Arial"/>
          <w:b/>
          <w:bCs/>
          <w:color w:val="000000"/>
        </w:rPr>
        <w:t>Mario Gutiérrez</w:t>
      </w:r>
      <w:r>
        <w:rPr>
          <w:rFonts w:ascii="Arial" w:cs="Arial" w:eastAsia="Calibri" w:hAnsi="Arial"/>
          <w:b/>
          <w:bCs/>
        </w:rPr>
        <w:t>. Holguín. 2023</w:t>
      </w:r>
    </w:p>
    <w:tbl>
      <w:tblPr>
        <w:tblW w:w="0" w:type="auto"/>
        <w:tblInd w:w="-5" w:type="dxa"/>
        <w:tblLayout w:type="fixed"/>
        <w:tblLook w:val="0000" w:firstRow="0" w:lastRow="0" w:firstColumn="0" w:lastColumn="0" w:noHBand="0" w:noVBand="0"/>
      </w:tblPr>
      <w:tblGrid>
        <w:gridCol w:w="3822"/>
        <w:gridCol w:w="2423"/>
        <w:gridCol w:w="1949"/>
      </w:tblGrid>
      <w:tr>
        <w:trPr>
          <w:trHeight w:val="782" w:hRule="atLeast"/>
        </w:trPr>
        <w:tc>
          <w:tcPr>
            <w:tcW w:w="3822" w:type="dxa"/>
            <w:tcBorders>
              <w:top w:val="single" w:sz="4" w:space="0" w:color="000000"/>
              <w:left w:val="single" w:sz="4" w:space="0" w:color="ffffff"/>
              <w:bottom w:val="single" w:sz="4" w:space="0" w:color="000000"/>
            </w:tcBorders>
          </w:tcPr>
          <w:p>
            <w:pPr>
              <w:pStyle w:val="style0"/>
              <w:tabs>
                <w:tab w:val="left" w:leader="none" w:pos="3523"/>
              </w:tabs>
              <w:spacing w:lineRule="auto" w:line="360"/>
              <w:jc w:val="both"/>
              <w:rPr>
                <w:rFonts w:ascii="Arial" w:cs="Arial" w:hAnsi="Arial"/>
              </w:rPr>
            </w:pPr>
            <w:r>
              <w:rPr>
                <w:rFonts w:ascii="Arial" w:cs="Arial" w:hAnsi="Arial"/>
                <w:b/>
                <w:bCs/>
              </w:rPr>
              <w:t>Nivel de escolaridad</w:t>
            </w:r>
          </w:p>
        </w:tc>
        <w:tc>
          <w:tcPr>
            <w:tcW w:w="2423" w:type="dxa"/>
            <w:tcBorders>
              <w:top w:val="single" w:sz="4" w:space="0" w:color="000000"/>
              <w:left w:val="single" w:sz="4" w:space="0" w:color="000000"/>
              <w:bottom w:val="single" w:sz="4" w:space="0" w:color="000000"/>
            </w:tcBorders>
          </w:tcPr>
          <w:p>
            <w:pPr>
              <w:pStyle w:val="style0"/>
              <w:tabs>
                <w:tab w:val="left" w:leader="none" w:pos="3523"/>
              </w:tabs>
              <w:spacing w:lineRule="auto" w:line="360"/>
              <w:jc w:val="both"/>
              <w:rPr>
                <w:rFonts w:ascii="Arial" w:cs="Arial" w:hAnsi="Arial"/>
              </w:rPr>
            </w:pPr>
            <w:r>
              <w:rPr>
                <w:rFonts w:ascii="Arial" w:cs="Arial" w:hAnsi="Arial"/>
                <w:b/>
              </w:rPr>
              <w:t>No.</w:t>
            </w:r>
          </w:p>
        </w:tc>
        <w:tc>
          <w:tcPr>
            <w:tcW w:w="1949" w:type="dxa"/>
            <w:tcBorders>
              <w:top w:val="single" w:sz="4" w:space="0" w:color="000000"/>
              <w:left w:val="single" w:sz="4" w:space="0" w:color="000000"/>
              <w:bottom w:val="single" w:sz="4" w:space="0" w:color="000000"/>
              <w:right w:val="single" w:sz="4" w:space="0" w:color="ffffff"/>
            </w:tcBorders>
          </w:tcPr>
          <w:p>
            <w:pPr>
              <w:pStyle w:val="style0"/>
              <w:tabs>
                <w:tab w:val="left" w:leader="none" w:pos="3523"/>
              </w:tabs>
              <w:spacing w:lineRule="auto" w:line="360"/>
              <w:jc w:val="both"/>
              <w:rPr>
                <w:rFonts w:ascii="Arial" w:cs="Arial" w:hAnsi="Arial"/>
              </w:rPr>
            </w:pPr>
            <w:r>
              <w:rPr>
                <w:rFonts w:ascii="Arial" w:cs="Arial" w:hAnsi="Arial"/>
                <w:b/>
              </w:rPr>
              <w:t>%</w:t>
            </w:r>
          </w:p>
        </w:tc>
      </w:tr>
      <w:tr>
        <w:tblPrEx/>
        <w:trPr>
          <w:trHeight w:val="782" w:hRule="atLeast"/>
        </w:trPr>
        <w:tc>
          <w:tcPr>
            <w:tcW w:w="3822" w:type="dxa"/>
            <w:tcBorders>
              <w:top w:val="single" w:sz="4" w:space="0" w:color="000000"/>
              <w:left w:val="single" w:sz="4" w:space="0" w:color="ffffff"/>
              <w:bottom w:val="single" w:sz="4" w:space="0" w:color="000000"/>
            </w:tcBorders>
          </w:tcPr>
          <w:p>
            <w:pPr>
              <w:pStyle w:val="style0"/>
              <w:tabs>
                <w:tab w:val="left" w:leader="none" w:pos="3523"/>
              </w:tabs>
              <w:spacing w:lineRule="auto" w:line="360"/>
              <w:jc w:val="both"/>
              <w:rPr>
                <w:rFonts w:ascii="Arial" w:cs="Arial" w:hAnsi="Arial"/>
              </w:rPr>
            </w:pPr>
            <w:r>
              <w:rPr>
                <w:rFonts w:ascii="Arial" w:cs="Arial" w:hAnsi="Arial"/>
                <w:b/>
                <w:bCs/>
              </w:rPr>
              <w:t>Primaria terminada</w:t>
            </w:r>
          </w:p>
        </w:tc>
        <w:tc>
          <w:tcPr>
            <w:tcW w:w="2423" w:type="dxa"/>
            <w:tcBorders>
              <w:top w:val="single" w:sz="4" w:space="0" w:color="000000"/>
              <w:left w:val="single" w:sz="4" w:space="0" w:color="000000"/>
              <w:bottom w:val="single" w:sz="4" w:space="0" w:color="000000"/>
            </w:tcBorders>
          </w:tcPr>
          <w:p>
            <w:pPr>
              <w:pStyle w:val="style0"/>
              <w:tabs>
                <w:tab w:val="left" w:leader="none" w:pos="3523"/>
              </w:tabs>
              <w:spacing w:lineRule="auto" w:line="360"/>
              <w:jc w:val="both"/>
              <w:rPr>
                <w:rFonts w:ascii="Arial" w:cs="Arial" w:hAnsi="Arial"/>
              </w:rPr>
            </w:pPr>
            <w:r>
              <w:rPr>
                <w:rFonts w:ascii="Arial" w:cs="Arial" w:hAnsi="Arial"/>
                <w:b/>
              </w:rPr>
              <w:t>10</w:t>
            </w:r>
          </w:p>
        </w:tc>
        <w:tc>
          <w:tcPr>
            <w:tcW w:w="1949" w:type="dxa"/>
            <w:tcBorders>
              <w:top w:val="single" w:sz="4" w:space="0" w:color="000000"/>
              <w:left w:val="single" w:sz="4" w:space="0" w:color="000000"/>
              <w:bottom w:val="single" w:sz="4" w:space="0" w:color="000000"/>
              <w:right w:val="single" w:sz="4" w:space="0" w:color="ffffff"/>
            </w:tcBorders>
          </w:tcPr>
          <w:p>
            <w:pPr>
              <w:pStyle w:val="style0"/>
              <w:tabs>
                <w:tab w:val="left" w:leader="none" w:pos="3523"/>
              </w:tabs>
              <w:spacing w:lineRule="auto" w:line="360"/>
              <w:jc w:val="both"/>
              <w:rPr>
                <w:rFonts w:ascii="Arial" w:cs="Arial" w:hAnsi="Arial"/>
              </w:rPr>
            </w:pPr>
            <w:r>
              <w:rPr>
                <w:rFonts w:ascii="Arial" w:cs="Arial" w:hAnsi="Arial"/>
              </w:rPr>
              <w:t>7.14</w:t>
            </w:r>
          </w:p>
        </w:tc>
      </w:tr>
      <w:tr>
        <w:tblPrEx/>
        <w:trPr>
          <w:trHeight w:val="782" w:hRule="atLeast"/>
        </w:trPr>
        <w:tc>
          <w:tcPr>
            <w:tcW w:w="3822" w:type="dxa"/>
            <w:tcBorders>
              <w:top w:val="single" w:sz="4" w:space="0" w:color="000000"/>
              <w:left w:val="single" w:sz="4" w:space="0" w:color="ffffff"/>
              <w:bottom w:val="single" w:sz="4" w:space="0" w:color="000000"/>
            </w:tcBorders>
          </w:tcPr>
          <w:p>
            <w:pPr>
              <w:pStyle w:val="style0"/>
              <w:tabs>
                <w:tab w:val="left" w:leader="none" w:pos="3523"/>
              </w:tabs>
              <w:spacing w:lineRule="auto" w:line="360"/>
              <w:jc w:val="both"/>
              <w:rPr>
                <w:rFonts w:ascii="Arial" w:cs="Arial" w:hAnsi="Arial"/>
              </w:rPr>
            </w:pPr>
            <w:r>
              <w:rPr>
                <w:rFonts w:ascii="Arial" w:cs="Arial" w:hAnsi="Arial"/>
                <w:b/>
                <w:bCs/>
              </w:rPr>
              <w:t>Secundaria terminada</w:t>
            </w:r>
          </w:p>
        </w:tc>
        <w:tc>
          <w:tcPr>
            <w:tcW w:w="2423" w:type="dxa"/>
            <w:tcBorders>
              <w:top w:val="single" w:sz="4" w:space="0" w:color="000000"/>
              <w:left w:val="single" w:sz="4" w:space="0" w:color="000000"/>
              <w:bottom w:val="single" w:sz="4" w:space="0" w:color="000000"/>
            </w:tcBorders>
          </w:tcPr>
          <w:p>
            <w:pPr>
              <w:pStyle w:val="style0"/>
              <w:tabs>
                <w:tab w:val="left" w:leader="none" w:pos="3523"/>
              </w:tabs>
              <w:spacing w:lineRule="auto" w:line="360"/>
              <w:jc w:val="both"/>
              <w:rPr>
                <w:rFonts w:ascii="Arial" w:cs="Arial" w:hAnsi="Arial"/>
              </w:rPr>
            </w:pPr>
            <w:r>
              <w:rPr>
                <w:rFonts w:ascii="Arial" w:cs="Arial" w:hAnsi="Arial"/>
                <w:b/>
              </w:rPr>
              <w:t>60</w:t>
            </w:r>
          </w:p>
        </w:tc>
        <w:tc>
          <w:tcPr>
            <w:tcW w:w="1949" w:type="dxa"/>
            <w:tcBorders>
              <w:top w:val="single" w:sz="4" w:space="0" w:color="000000"/>
              <w:left w:val="single" w:sz="4" w:space="0" w:color="000000"/>
              <w:bottom w:val="single" w:sz="4" w:space="0" w:color="000000"/>
              <w:right w:val="single" w:sz="4" w:space="0" w:color="ffffff"/>
            </w:tcBorders>
          </w:tcPr>
          <w:p>
            <w:pPr>
              <w:pStyle w:val="style0"/>
              <w:tabs>
                <w:tab w:val="left" w:leader="none" w:pos="3523"/>
              </w:tabs>
              <w:spacing w:lineRule="auto" w:line="360"/>
              <w:jc w:val="both"/>
              <w:rPr>
                <w:rFonts w:ascii="Arial" w:cs="Arial" w:hAnsi="Arial"/>
              </w:rPr>
            </w:pPr>
            <w:r>
              <w:rPr>
                <w:rFonts w:ascii="Arial" w:cs="Arial" w:hAnsi="Arial"/>
                <w:b/>
              </w:rPr>
              <w:t>42.85</w:t>
            </w:r>
          </w:p>
        </w:tc>
      </w:tr>
      <w:tr>
        <w:tblPrEx/>
        <w:trPr>
          <w:trHeight w:val="768" w:hRule="atLeast"/>
        </w:trPr>
        <w:tc>
          <w:tcPr>
            <w:tcW w:w="3822" w:type="dxa"/>
            <w:tcBorders>
              <w:top w:val="single" w:sz="4" w:space="0" w:color="000000"/>
              <w:left w:val="single" w:sz="4" w:space="0" w:color="ffffff"/>
              <w:bottom w:val="single" w:sz="4" w:space="0" w:color="000000"/>
            </w:tcBorders>
          </w:tcPr>
          <w:p>
            <w:pPr>
              <w:pStyle w:val="style0"/>
              <w:tabs>
                <w:tab w:val="left" w:leader="none" w:pos="3523"/>
              </w:tabs>
              <w:spacing w:lineRule="auto" w:line="360"/>
              <w:jc w:val="both"/>
              <w:rPr>
                <w:rFonts w:ascii="Arial" w:cs="Arial" w:hAnsi="Arial"/>
              </w:rPr>
            </w:pPr>
            <w:r>
              <w:rPr>
                <w:rFonts w:ascii="Arial" w:cs="Arial" w:hAnsi="Arial"/>
                <w:b/>
                <w:bCs/>
              </w:rPr>
              <w:t>Preuniversitario terminado</w:t>
            </w:r>
          </w:p>
        </w:tc>
        <w:tc>
          <w:tcPr>
            <w:tcW w:w="2423" w:type="dxa"/>
            <w:tcBorders>
              <w:top w:val="single" w:sz="4" w:space="0" w:color="000000"/>
              <w:left w:val="single" w:sz="4" w:space="0" w:color="000000"/>
              <w:bottom w:val="single" w:sz="4" w:space="0" w:color="000000"/>
            </w:tcBorders>
          </w:tcPr>
          <w:p>
            <w:pPr>
              <w:pStyle w:val="style0"/>
              <w:tabs>
                <w:tab w:val="left" w:leader="none" w:pos="3523"/>
              </w:tabs>
              <w:spacing w:lineRule="auto" w:line="360"/>
              <w:jc w:val="both"/>
              <w:rPr>
                <w:rFonts w:ascii="Arial" w:cs="Arial" w:hAnsi="Arial"/>
              </w:rPr>
            </w:pPr>
            <w:r>
              <w:rPr>
                <w:rFonts w:ascii="Arial" w:cs="Arial" w:hAnsi="Arial"/>
                <w:b/>
              </w:rPr>
              <w:t>50</w:t>
            </w:r>
          </w:p>
        </w:tc>
        <w:tc>
          <w:tcPr>
            <w:tcW w:w="1949" w:type="dxa"/>
            <w:tcBorders>
              <w:top w:val="single" w:sz="4" w:space="0" w:color="000000"/>
              <w:left w:val="single" w:sz="4" w:space="0" w:color="000000"/>
              <w:bottom w:val="single" w:sz="4" w:space="0" w:color="000000"/>
              <w:right w:val="single" w:sz="4" w:space="0" w:color="ffffff"/>
            </w:tcBorders>
          </w:tcPr>
          <w:p>
            <w:pPr>
              <w:pStyle w:val="style0"/>
              <w:tabs>
                <w:tab w:val="left" w:leader="none" w:pos="3523"/>
              </w:tabs>
              <w:spacing w:lineRule="auto" w:line="360"/>
              <w:jc w:val="both"/>
              <w:rPr>
                <w:rFonts w:ascii="Arial" w:cs="Arial" w:hAnsi="Arial"/>
              </w:rPr>
            </w:pPr>
            <w:r>
              <w:rPr>
                <w:rFonts w:ascii="Arial" w:cs="Arial" w:hAnsi="Arial"/>
              </w:rPr>
              <w:t>35.73</w:t>
            </w:r>
          </w:p>
        </w:tc>
      </w:tr>
      <w:tr>
        <w:tblPrEx/>
        <w:trPr>
          <w:trHeight w:val="385" w:hRule="atLeast"/>
        </w:trPr>
        <w:tc>
          <w:tcPr>
            <w:tcW w:w="3822" w:type="dxa"/>
            <w:tcBorders>
              <w:top w:val="single" w:sz="4" w:space="0" w:color="000000"/>
              <w:left w:val="single" w:sz="4" w:space="0" w:color="ffffff"/>
              <w:bottom w:val="single" w:sz="4" w:space="0" w:color="000000"/>
            </w:tcBorders>
          </w:tcPr>
          <w:p>
            <w:pPr>
              <w:pStyle w:val="style0"/>
              <w:tabs>
                <w:tab w:val="left" w:leader="none" w:pos="3523"/>
              </w:tabs>
              <w:spacing w:lineRule="auto" w:line="360"/>
              <w:jc w:val="both"/>
              <w:rPr>
                <w:rFonts w:ascii="Arial" w:cs="Arial" w:hAnsi="Arial"/>
              </w:rPr>
            </w:pPr>
            <w:r>
              <w:rPr>
                <w:rFonts w:ascii="Arial" w:cs="Arial" w:hAnsi="Arial"/>
                <w:b/>
                <w:bCs/>
              </w:rPr>
              <w:t>Universitarios</w:t>
            </w:r>
          </w:p>
        </w:tc>
        <w:tc>
          <w:tcPr>
            <w:tcW w:w="2423" w:type="dxa"/>
            <w:tcBorders>
              <w:top w:val="single" w:sz="4" w:space="0" w:color="000000"/>
              <w:left w:val="single" w:sz="4" w:space="0" w:color="000000"/>
              <w:bottom w:val="single" w:sz="4" w:space="0" w:color="000000"/>
            </w:tcBorders>
          </w:tcPr>
          <w:p>
            <w:pPr>
              <w:pStyle w:val="style0"/>
              <w:tabs>
                <w:tab w:val="left" w:leader="none" w:pos="3523"/>
              </w:tabs>
              <w:spacing w:lineRule="auto" w:line="360"/>
              <w:jc w:val="both"/>
              <w:rPr>
                <w:rFonts w:ascii="Arial" w:cs="Arial" w:hAnsi="Arial"/>
              </w:rPr>
            </w:pPr>
            <w:r>
              <w:rPr>
                <w:rFonts w:ascii="Arial" w:cs="Arial" w:hAnsi="Arial"/>
                <w:b/>
              </w:rPr>
              <w:t>20</w:t>
            </w:r>
          </w:p>
        </w:tc>
        <w:tc>
          <w:tcPr>
            <w:tcW w:w="1949" w:type="dxa"/>
            <w:tcBorders>
              <w:top w:val="single" w:sz="4" w:space="0" w:color="000000"/>
              <w:left w:val="single" w:sz="4" w:space="0" w:color="000000"/>
              <w:bottom w:val="single" w:sz="4" w:space="0" w:color="000000"/>
              <w:right w:val="single" w:sz="4" w:space="0" w:color="ffffff"/>
            </w:tcBorders>
          </w:tcPr>
          <w:p>
            <w:pPr>
              <w:pStyle w:val="style0"/>
              <w:tabs>
                <w:tab w:val="left" w:leader="none" w:pos="3523"/>
              </w:tabs>
              <w:spacing w:lineRule="auto" w:line="360"/>
              <w:jc w:val="both"/>
              <w:rPr>
                <w:rFonts w:ascii="Arial" w:cs="Arial" w:hAnsi="Arial"/>
              </w:rPr>
            </w:pPr>
            <w:r>
              <w:rPr>
                <w:rFonts w:ascii="Arial" w:cs="Arial" w:hAnsi="Arial"/>
              </w:rPr>
              <w:t>14.28</w:t>
            </w:r>
          </w:p>
        </w:tc>
      </w:tr>
      <w:tr>
        <w:tblPrEx/>
        <w:trPr>
          <w:trHeight w:val="397" w:hRule="atLeast"/>
        </w:trPr>
        <w:tc>
          <w:tcPr>
            <w:tcW w:w="3822" w:type="dxa"/>
            <w:tcBorders>
              <w:top w:val="single" w:sz="4" w:space="0" w:color="000000"/>
              <w:left w:val="single" w:sz="4" w:space="0" w:color="ffffff"/>
              <w:bottom w:val="single" w:sz="4" w:space="0" w:color="000000"/>
            </w:tcBorders>
          </w:tcPr>
          <w:p>
            <w:pPr>
              <w:pStyle w:val="style0"/>
              <w:tabs>
                <w:tab w:val="left" w:leader="none" w:pos="3523"/>
              </w:tabs>
              <w:spacing w:lineRule="auto" w:line="360"/>
              <w:jc w:val="both"/>
              <w:rPr>
                <w:rFonts w:ascii="Arial" w:cs="Arial" w:hAnsi="Arial"/>
              </w:rPr>
            </w:pPr>
            <w:r>
              <w:rPr>
                <w:rFonts w:ascii="Arial" w:cs="Arial" w:hAnsi="Arial"/>
                <w:b/>
              </w:rPr>
              <w:t>Total</w:t>
            </w:r>
          </w:p>
        </w:tc>
        <w:tc>
          <w:tcPr>
            <w:tcW w:w="2423" w:type="dxa"/>
            <w:tcBorders>
              <w:top w:val="single" w:sz="4" w:space="0" w:color="000000"/>
              <w:left w:val="single" w:sz="4" w:space="0" w:color="000000"/>
              <w:bottom w:val="single" w:sz="4" w:space="0" w:color="000000"/>
            </w:tcBorders>
          </w:tcPr>
          <w:p>
            <w:pPr>
              <w:pStyle w:val="style0"/>
              <w:tabs>
                <w:tab w:val="left" w:leader="none" w:pos="3523"/>
              </w:tabs>
              <w:spacing w:lineRule="auto" w:line="360"/>
              <w:jc w:val="both"/>
              <w:rPr>
                <w:rFonts w:ascii="Arial" w:cs="Arial" w:hAnsi="Arial"/>
              </w:rPr>
            </w:pPr>
            <w:r>
              <w:rPr>
                <w:rFonts w:ascii="Arial" w:cs="Arial" w:hAnsi="Arial"/>
                <w:b/>
              </w:rPr>
              <w:t>140</w:t>
            </w:r>
          </w:p>
        </w:tc>
        <w:tc>
          <w:tcPr>
            <w:tcW w:w="1949" w:type="dxa"/>
            <w:tcBorders>
              <w:top w:val="single" w:sz="4" w:space="0" w:color="000000"/>
              <w:left w:val="single" w:sz="4" w:space="0" w:color="000000"/>
              <w:bottom w:val="single" w:sz="4" w:space="0" w:color="000000"/>
              <w:right w:val="single" w:sz="4" w:space="0" w:color="ffffff"/>
            </w:tcBorders>
          </w:tcPr>
          <w:p>
            <w:pPr>
              <w:pStyle w:val="style0"/>
              <w:tabs>
                <w:tab w:val="left" w:leader="none" w:pos="3523"/>
              </w:tabs>
              <w:spacing w:lineRule="auto" w:line="360"/>
              <w:jc w:val="both"/>
              <w:rPr>
                <w:rFonts w:ascii="Arial" w:cs="Arial" w:hAnsi="Arial"/>
              </w:rPr>
            </w:pPr>
            <w:r>
              <w:rPr>
                <w:rFonts w:ascii="Arial" w:cs="Arial" w:hAnsi="Arial"/>
                <w:b/>
              </w:rPr>
              <w:t>100</w:t>
            </w:r>
          </w:p>
        </w:tc>
      </w:tr>
    </w:tbl>
    <w:p>
      <w:pPr>
        <w:pStyle w:val="style0"/>
        <w:spacing w:lineRule="auto" w:line="360"/>
        <w:jc w:val="both"/>
        <w:rPr>
          <w:rFonts w:ascii="Arial" w:cs="Arial" w:hAnsi="Arial"/>
        </w:rPr>
      </w:pPr>
    </w:p>
    <w:p>
      <w:pPr>
        <w:pStyle w:val="style0"/>
        <w:spacing w:lineRule="auto" w:line="360"/>
        <w:jc w:val="both"/>
        <w:rPr>
          <w:rFonts w:ascii="Arial" w:cs="Arial" w:hAnsi="Arial"/>
        </w:rPr>
      </w:pPr>
      <w:r>
        <w:rPr>
          <w:rFonts w:ascii="Arial" w:cs="Arial" w:hAnsi="Arial"/>
        </w:rPr>
        <w:t>Fuente: Datos primarios del autor</w:t>
      </w:r>
    </w:p>
    <w:p>
      <w:pPr>
        <w:pStyle w:val="style0"/>
        <w:spacing w:lineRule="auto" w:line="360"/>
        <w:jc w:val="both"/>
        <w:rPr>
          <w:rFonts w:ascii="Arial" w:cs="Arial" w:hAnsi="Arial"/>
        </w:rPr>
      </w:pPr>
      <w:r>
        <w:rPr>
          <w:rFonts w:ascii="Arial" w:cs="Arial" w:hAnsi="Arial"/>
        </w:rPr>
        <w:t>La Tabla 2 representa la distribución de los pacientes del Consultorio 13 del Policlínico Mario Gutiérrez del municipio Holguín durante el año 2017 según nivel de escolaridad, evidenciándose que del total de pacientes de la muestra 60 de ellos concluyeron sus estudios de Secundaria Básica lo que representa el 42, 85 % del total y solo 20 eran universitarios. Que todos los pacientes estén escolarizados representa una gran ventaja a la hora de comprender mejor los contenidos abordados en la estrategia educativa.</w:t>
      </w:r>
    </w:p>
    <w:p>
      <w:pPr>
        <w:pStyle w:val="style0"/>
        <w:spacing w:lineRule="auto" w:line="360"/>
        <w:jc w:val="both"/>
        <w:rPr>
          <w:rFonts w:ascii="Arial" w:cs="Arial" w:hAnsi="Arial"/>
        </w:rPr>
      </w:pPr>
      <w:r>
        <w:rPr>
          <w:rFonts w:ascii="Arial" w:cs="Arial" w:hAnsi="Arial"/>
          <w:b/>
          <w:bCs/>
          <w:u w:val="single"/>
        </w:rPr>
        <w:t>Tabla3:</w:t>
      </w:r>
      <w:r>
        <w:rPr>
          <w:rFonts w:ascii="Arial" w:cs="Arial" w:hAnsi="Arial"/>
          <w:b/>
          <w:bCs/>
        </w:rPr>
        <w:t xml:space="preserve"> Distribución de pacientes según </w:t>
      </w:r>
      <w:r>
        <w:rPr>
          <w:rFonts w:ascii="Arial" w:cs="Arial" w:hAnsi="Arial"/>
          <w:b/>
          <w:lang w:eastAsia="es-US"/>
        </w:rPr>
        <w:t>fuente de información para la adquisición de los conocimientos sobre enfermedades cardiovasculares</w:t>
      </w:r>
      <w:r>
        <w:rPr>
          <w:rFonts w:ascii="Arial" w:cs="Arial" w:hAnsi="Arial"/>
          <w:b/>
          <w:bCs/>
        </w:rPr>
        <w:t xml:space="preserve">. Consultorio 13. Policlínico </w:t>
      </w:r>
      <w:r>
        <w:rPr>
          <w:rFonts w:ascii="Arial" w:cs="Arial" w:hAnsi="Arial"/>
          <w:b/>
          <w:bCs/>
          <w:color w:val="000000"/>
        </w:rPr>
        <w:t>Mario Gutiérrez</w:t>
      </w:r>
      <w:r>
        <w:rPr>
          <w:rFonts w:ascii="Arial" w:cs="Arial" w:hAnsi="Arial"/>
          <w:b/>
          <w:bCs/>
        </w:rPr>
        <w:t>. Holguín. 2023</w:t>
      </w:r>
    </w:p>
    <w:tbl>
      <w:tblPr>
        <w:tblW w:w="0" w:type="auto"/>
        <w:tblInd w:w="-5" w:type="dxa"/>
        <w:tblLayout w:type="fixed"/>
        <w:tblLook w:val="0000" w:firstRow="0" w:lastRow="0" w:firstColumn="0" w:lastColumn="0" w:noHBand="0" w:noVBand="0"/>
      </w:tblPr>
      <w:tblGrid>
        <w:gridCol w:w="3991"/>
        <w:gridCol w:w="2530"/>
        <w:gridCol w:w="2035"/>
      </w:tblGrid>
      <w:tr>
        <w:trPr>
          <w:trHeight w:val="660" w:hRule="atLeast"/>
        </w:trPr>
        <w:tc>
          <w:tcPr>
            <w:tcW w:w="3991" w:type="dxa"/>
            <w:tcBorders>
              <w:top w:val="single" w:sz="4" w:space="0" w:color="000000"/>
              <w:left w:val="single" w:sz="4" w:space="0" w:color="ffffff"/>
              <w:bottom w:val="single" w:sz="4" w:space="0" w:color="000000"/>
            </w:tcBorders>
          </w:tcPr>
          <w:p>
            <w:pPr>
              <w:pStyle w:val="style0"/>
              <w:tabs>
                <w:tab w:val="left" w:leader="none" w:pos="3523"/>
              </w:tabs>
              <w:spacing w:lineRule="auto" w:line="360"/>
              <w:jc w:val="both"/>
              <w:rPr>
                <w:rFonts w:ascii="Arial" w:cs="Arial" w:hAnsi="Arial"/>
              </w:rPr>
            </w:pPr>
            <w:r>
              <w:rPr>
                <w:rFonts w:ascii="Arial" w:cs="Arial" w:hAnsi="Arial"/>
                <w:b/>
                <w:bCs/>
              </w:rPr>
              <w:t>Fuentes de información</w:t>
            </w:r>
          </w:p>
        </w:tc>
        <w:tc>
          <w:tcPr>
            <w:tcW w:w="2530" w:type="dxa"/>
            <w:tcBorders>
              <w:top w:val="single" w:sz="4" w:space="0" w:color="000000"/>
              <w:left w:val="single" w:sz="4" w:space="0" w:color="000000"/>
              <w:bottom w:val="single" w:sz="4" w:space="0" w:color="000000"/>
            </w:tcBorders>
          </w:tcPr>
          <w:p>
            <w:pPr>
              <w:pStyle w:val="style0"/>
              <w:tabs>
                <w:tab w:val="left" w:leader="none" w:pos="3523"/>
              </w:tabs>
              <w:spacing w:lineRule="auto" w:line="360"/>
              <w:jc w:val="both"/>
              <w:rPr>
                <w:rFonts w:ascii="Arial" w:cs="Arial" w:hAnsi="Arial"/>
              </w:rPr>
            </w:pPr>
            <w:r>
              <w:rPr>
                <w:rFonts w:ascii="Arial" w:cs="Arial" w:hAnsi="Arial"/>
                <w:b/>
              </w:rPr>
              <w:t>No.</w:t>
            </w:r>
          </w:p>
        </w:tc>
        <w:tc>
          <w:tcPr>
            <w:tcW w:w="2035" w:type="dxa"/>
            <w:tcBorders>
              <w:top w:val="single" w:sz="4" w:space="0" w:color="000000"/>
              <w:left w:val="single" w:sz="4" w:space="0" w:color="000000"/>
              <w:bottom w:val="single" w:sz="4" w:space="0" w:color="000000"/>
              <w:right w:val="single" w:sz="4" w:space="0" w:color="ffffff"/>
            </w:tcBorders>
          </w:tcPr>
          <w:p>
            <w:pPr>
              <w:pStyle w:val="style0"/>
              <w:tabs>
                <w:tab w:val="left" w:leader="none" w:pos="3523"/>
              </w:tabs>
              <w:spacing w:lineRule="auto" w:line="360"/>
              <w:jc w:val="both"/>
              <w:rPr>
                <w:rFonts w:ascii="Arial" w:cs="Arial" w:hAnsi="Arial"/>
              </w:rPr>
            </w:pPr>
            <w:r>
              <w:rPr>
                <w:rFonts w:ascii="Arial" w:cs="Arial" w:hAnsi="Arial"/>
                <w:b/>
              </w:rPr>
              <w:t>%</w:t>
            </w:r>
          </w:p>
        </w:tc>
      </w:tr>
      <w:tr>
        <w:tblPrEx/>
        <w:trPr>
          <w:trHeight w:val="672" w:hRule="atLeast"/>
        </w:trPr>
        <w:tc>
          <w:tcPr>
            <w:tcW w:w="3991" w:type="dxa"/>
            <w:tcBorders>
              <w:top w:val="single" w:sz="4" w:space="0" w:color="000000"/>
              <w:left w:val="single" w:sz="4" w:space="0" w:color="ffffff"/>
              <w:bottom w:val="single" w:sz="4" w:space="0" w:color="000000"/>
            </w:tcBorders>
          </w:tcPr>
          <w:p>
            <w:pPr>
              <w:pStyle w:val="style0"/>
              <w:tabs>
                <w:tab w:val="left" w:leader="none" w:pos="3523"/>
              </w:tabs>
              <w:spacing w:lineRule="auto" w:line="360"/>
              <w:jc w:val="both"/>
              <w:rPr>
                <w:rFonts w:ascii="Arial" w:cs="Arial" w:hAnsi="Arial"/>
              </w:rPr>
            </w:pPr>
            <w:r>
              <w:rPr>
                <w:rFonts w:ascii="Arial" w:cs="Arial" w:hAnsi="Arial"/>
                <w:b/>
                <w:bCs/>
              </w:rPr>
              <w:t>Familia</w:t>
            </w:r>
            <w:r>
              <w:rPr>
                <w:rFonts w:ascii="Arial" w:cs="Arial" w:hAnsi="Arial"/>
                <w:bCs/>
              </w:rPr>
              <w:t xml:space="preserve">  </w:t>
            </w:r>
          </w:p>
        </w:tc>
        <w:tc>
          <w:tcPr>
            <w:tcW w:w="2530" w:type="dxa"/>
            <w:tcBorders>
              <w:top w:val="single" w:sz="4" w:space="0" w:color="000000"/>
              <w:left w:val="single" w:sz="4" w:space="0" w:color="000000"/>
              <w:bottom w:val="single" w:sz="4" w:space="0" w:color="000000"/>
            </w:tcBorders>
          </w:tcPr>
          <w:p>
            <w:pPr>
              <w:pStyle w:val="style0"/>
              <w:tabs>
                <w:tab w:val="left" w:leader="none" w:pos="3523"/>
              </w:tabs>
              <w:spacing w:lineRule="auto" w:line="360"/>
              <w:jc w:val="both"/>
              <w:rPr>
                <w:rFonts w:ascii="Arial" w:cs="Arial" w:hAnsi="Arial"/>
              </w:rPr>
            </w:pPr>
            <w:r>
              <w:rPr>
                <w:rFonts w:ascii="Arial" w:cs="Arial" w:hAnsi="Arial"/>
                <w:b/>
              </w:rPr>
              <w:t>50</w:t>
            </w:r>
          </w:p>
        </w:tc>
        <w:tc>
          <w:tcPr>
            <w:tcW w:w="2035" w:type="dxa"/>
            <w:tcBorders>
              <w:top w:val="single" w:sz="4" w:space="0" w:color="000000"/>
              <w:left w:val="single" w:sz="4" w:space="0" w:color="000000"/>
              <w:bottom w:val="single" w:sz="4" w:space="0" w:color="000000"/>
              <w:right w:val="single" w:sz="4" w:space="0" w:color="ffffff"/>
            </w:tcBorders>
          </w:tcPr>
          <w:p>
            <w:pPr>
              <w:pStyle w:val="style0"/>
              <w:tabs>
                <w:tab w:val="left" w:leader="none" w:pos="3523"/>
              </w:tabs>
              <w:spacing w:lineRule="auto" w:line="360"/>
              <w:jc w:val="both"/>
              <w:rPr>
                <w:rFonts w:ascii="Arial" w:cs="Arial" w:hAnsi="Arial"/>
              </w:rPr>
            </w:pPr>
            <w:r>
              <w:rPr>
                <w:rFonts w:ascii="Arial" w:cs="Arial" w:hAnsi="Arial"/>
                <w:b/>
              </w:rPr>
              <w:t>35.72</w:t>
            </w:r>
          </w:p>
        </w:tc>
      </w:tr>
      <w:tr>
        <w:tblPrEx/>
        <w:trPr>
          <w:trHeight w:val="672" w:hRule="atLeast"/>
        </w:trPr>
        <w:tc>
          <w:tcPr>
            <w:tcW w:w="3991" w:type="dxa"/>
            <w:tcBorders>
              <w:top w:val="single" w:sz="4" w:space="0" w:color="000000"/>
              <w:left w:val="single" w:sz="4" w:space="0" w:color="ffffff"/>
              <w:bottom w:val="single" w:sz="4" w:space="0" w:color="000000"/>
            </w:tcBorders>
          </w:tcPr>
          <w:p>
            <w:pPr>
              <w:pStyle w:val="style0"/>
              <w:tabs>
                <w:tab w:val="left" w:leader="none" w:pos="3523"/>
              </w:tabs>
              <w:spacing w:lineRule="auto" w:line="360"/>
              <w:jc w:val="both"/>
              <w:rPr>
                <w:rFonts w:ascii="Arial" w:cs="Arial" w:hAnsi="Arial"/>
              </w:rPr>
            </w:pPr>
            <w:r>
              <w:rPr>
                <w:rFonts w:ascii="Arial" w:cs="Arial" w:hAnsi="Arial"/>
                <w:b/>
                <w:bCs/>
              </w:rPr>
              <w:t>Consultorio Médico</w:t>
            </w:r>
          </w:p>
        </w:tc>
        <w:tc>
          <w:tcPr>
            <w:tcW w:w="2530" w:type="dxa"/>
            <w:tcBorders>
              <w:top w:val="single" w:sz="4" w:space="0" w:color="000000"/>
              <w:left w:val="single" w:sz="4" w:space="0" w:color="000000"/>
              <w:bottom w:val="single" w:sz="4" w:space="0" w:color="000000"/>
            </w:tcBorders>
          </w:tcPr>
          <w:p>
            <w:pPr>
              <w:pStyle w:val="style0"/>
              <w:tabs>
                <w:tab w:val="left" w:leader="none" w:pos="3523"/>
              </w:tabs>
              <w:spacing w:lineRule="auto" w:line="360"/>
              <w:jc w:val="both"/>
              <w:rPr>
                <w:rFonts w:ascii="Arial" w:cs="Arial" w:hAnsi="Arial"/>
              </w:rPr>
            </w:pPr>
            <w:r>
              <w:rPr>
                <w:rFonts w:ascii="Arial" w:cs="Arial" w:hAnsi="Arial"/>
                <w:b/>
              </w:rPr>
              <w:t>30</w:t>
            </w:r>
          </w:p>
        </w:tc>
        <w:tc>
          <w:tcPr>
            <w:tcW w:w="2035" w:type="dxa"/>
            <w:tcBorders>
              <w:top w:val="single" w:sz="4" w:space="0" w:color="000000"/>
              <w:left w:val="single" w:sz="4" w:space="0" w:color="000000"/>
              <w:bottom w:val="single" w:sz="4" w:space="0" w:color="000000"/>
              <w:right w:val="single" w:sz="4" w:space="0" w:color="ffffff"/>
            </w:tcBorders>
          </w:tcPr>
          <w:p>
            <w:pPr>
              <w:pStyle w:val="style0"/>
              <w:tabs>
                <w:tab w:val="left" w:leader="none" w:pos="3523"/>
              </w:tabs>
              <w:spacing w:lineRule="auto" w:line="360"/>
              <w:jc w:val="both"/>
              <w:rPr>
                <w:rFonts w:ascii="Arial" w:cs="Arial" w:hAnsi="Arial"/>
              </w:rPr>
            </w:pPr>
            <w:r>
              <w:rPr>
                <w:rFonts w:ascii="Arial" w:cs="Arial" w:hAnsi="Arial"/>
                <w:b/>
              </w:rPr>
              <w:t>21.42</w:t>
            </w:r>
          </w:p>
        </w:tc>
      </w:tr>
      <w:tr>
        <w:tblPrEx/>
        <w:trPr>
          <w:trHeight w:val="660" w:hRule="atLeast"/>
        </w:trPr>
        <w:tc>
          <w:tcPr>
            <w:tcW w:w="3991" w:type="dxa"/>
            <w:tcBorders>
              <w:top w:val="single" w:sz="4" w:space="0" w:color="000000"/>
              <w:left w:val="single" w:sz="4" w:space="0" w:color="ffffff"/>
              <w:bottom w:val="single" w:sz="4" w:space="0" w:color="000000"/>
            </w:tcBorders>
          </w:tcPr>
          <w:p>
            <w:pPr>
              <w:pStyle w:val="style0"/>
              <w:tabs>
                <w:tab w:val="left" w:leader="none" w:pos="3523"/>
              </w:tabs>
              <w:spacing w:lineRule="auto" w:line="360"/>
              <w:jc w:val="both"/>
              <w:rPr>
                <w:rFonts w:ascii="Arial" w:cs="Arial" w:hAnsi="Arial"/>
              </w:rPr>
            </w:pPr>
            <w:r>
              <w:rPr>
                <w:rFonts w:ascii="Arial" w:cs="Arial" w:hAnsi="Arial"/>
                <w:b/>
                <w:bCs/>
              </w:rPr>
              <w:t>Televisión y radio</w:t>
            </w:r>
          </w:p>
        </w:tc>
        <w:tc>
          <w:tcPr>
            <w:tcW w:w="2530" w:type="dxa"/>
            <w:tcBorders>
              <w:top w:val="single" w:sz="4" w:space="0" w:color="000000"/>
              <w:left w:val="single" w:sz="4" w:space="0" w:color="000000"/>
              <w:bottom w:val="single" w:sz="4" w:space="0" w:color="000000"/>
            </w:tcBorders>
          </w:tcPr>
          <w:p>
            <w:pPr>
              <w:pStyle w:val="style0"/>
              <w:tabs>
                <w:tab w:val="left" w:leader="none" w:pos="3523"/>
              </w:tabs>
              <w:spacing w:lineRule="auto" w:line="360"/>
              <w:jc w:val="both"/>
              <w:rPr>
                <w:rFonts w:ascii="Arial" w:cs="Arial" w:hAnsi="Arial"/>
              </w:rPr>
            </w:pPr>
            <w:r>
              <w:rPr>
                <w:rFonts w:ascii="Arial" w:cs="Arial" w:hAnsi="Arial"/>
                <w:b/>
              </w:rPr>
              <w:t>50</w:t>
            </w:r>
          </w:p>
        </w:tc>
        <w:tc>
          <w:tcPr>
            <w:tcW w:w="2035" w:type="dxa"/>
            <w:tcBorders>
              <w:top w:val="single" w:sz="4" w:space="0" w:color="000000"/>
              <w:left w:val="single" w:sz="4" w:space="0" w:color="000000"/>
              <w:bottom w:val="single" w:sz="4" w:space="0" w:color="000000"/>
              <w:right w:val="single" w:sz="4" w:space="0" w:color="ffffff"/>
            </w:tcBorders>
          </w:tcPr>
          <w:p>
            <w:pPr>
              <w:pStyle w:val="style0"/>
              <w:tabs>
                <w:tab w:val="left" w:leader="none" w:pos="3523"/>
              </w:tabs>
              <w:spacing w:lineRule="auto" w:line="360"/>
              <w:jc w:val="both"/>
              <w:rPr>
                <w:rFonts w:ascii="Arial" w:cs="Arial" w:hAnsi="Arial"/>
              </w:rPr>
            </w:pPr>
            <w:r>
              <w:rPr>
                <w:rFonts w:ascii="Arial" w:cs="Arial" w:hAnsi="Arial"/>
                <w:b/>
              </w:rPr>
              <w:t>35.72</w:t>
            </w:r>
          </w:p>
        </w:tc>
      </w:tr>
      <w:tr>
        <w:tblPrEx/>
        <w:trPr>
          <w:trHeight w:val="341" w:hRule="atLeast"/>
        </w:trPr>
        <w:tc>
          <w:tcPr>
            <w:tcW w:w="3991" w:type="dxa"/>
            <w:tcBorders>
              <w:top w:val="single" w:sz="4" w:space="0" w:color="000000"/>
              <w:left w:val="single" w:sz="4" w:space="0" w:color="ffffff"/>
              <w:bottom w:val="single" w:sz="4" w:space="0" w:color="000000"/>
            </w:tcBorders>
          </w:tcPr>
          <w:p>
            <w:pPr>
              <w:pStyle w:val="style0"/>
              <w:tabs>
                <w:tab w:val="left" w:leader="none" w:pos="3523"/>
              </w:tabs>
              <w:spacing w:lineRule="auto" w:line="360"/>
              <w:jc w:val="both"/>
              <w:rPr>
                <w:rFonts w:ascii="Arial" w:cs="Arial" w:hAnsi="Arial"/>
              </w:rPr>
            </w:pPr>
            <w:r>
              <w:rPr>
                <w:rFonts w:ascii="Arial" w:cs="Arial" w:hAnsi="Arial"/>
                <w:b/>
                <w:bCs/>
              </w:rPr>
              <w:t>Otras</w:t>
            </w:r>
          </w:p>
        </w:tc>
        <w:tc>
          <w:tcPr>
            <w:tcW w:w="2530" w:type="dxa"/>
            <w:tcBorders>
              <w:top w:val="single" w:sz="4" w:space="0" w:color="000000"/>
              <w:left w:val="single" w:sz="4" w:space="0" w:color="000000"/>
              <w:bottom w:val="single" w:sz="4" w:space="0" w:color="000000"/>
            </w:tcBorders>
          </w:tcPr>
          <w:p>
            <w:pPr>
              <w:pStyle w:val="style0"/>
              <w:tabs>
                <w:tab w:val="left" w:leader="none" w:pos="3523"/>
              </w:tabs>
              <w:spacing w:lineRule="auto" w:line="360"/>
              <w:jc w:val="both"/>
              <w:rPr>
                <w:rFonts w:ascii="Arial" w:cs="Arial" w:hAnsi="Arial"/>
              </w:rPr>
            </w:pPr>
            <w:r>
              <w:rPr>
                <w:rFonts w:ascii="Arial" w:cs="Arial" w:hAnsi="Arial"/>
                <w:b/>
              </w:rPr>
              <w:t>10</w:t>
            </w:r>
          </w:p>
        </w:tc>
        <w:tc>
          <w:tcPr>
            <w:tcW w:w="2035" w:type="dxa"/>
            <w:tcBorders>
              <w:top w:val="single" w:sz="4" w:space="0" w:color="000000"/>
              <w:left w:val="single" w:sz="4" w:space="0" w:color="000000"/>
              <w:bottom w:val="single" w:sz="4" w:space="0" w:color="000000"/>
              <w:right w:val="single" w:sz="4" w:space="0" w:color="ffffff"/>
            </w:tcBorders>
          </w:tcPr>
          <w:p>
            <w:pPr>
              <w:pStyle w:val="style0"/>
              <w:tabs>
                <w:tab w:val="left" w:leader="none" w:pos="3523"/>
              </w:tabs>
              <w:spacing w:lineRule="auto" w:line="360"/>
              <w:jc w:val="both"/>
              <w:rPr>
                <w:rFonts w:ascii="Arial" w:cs="Arial" w:hAnsi="Arial"/>
              </w:rPr>
            </w:pPr>
            <w:r>
              <w:rPr>
                <w:rFonts w:ascii="Arial" w:cs="Arial" w:hAnsi="Arial"/>
                <w:b/>
              </w:rPr>
              <w:t>7.14</w:t>
            </w:r>
          </w:p>
        </w:tc>
      </w:tr>
      <w:tr>
        <w:tblPrEx/>
        <w:trPr>
          <w:trHeight w:val="341" w:hRule="atLeast"/>
        </w:trPr>
        <w:tc>
          <w:tcPr>
            <w:tcW w:w="3991" w:type="dxa"/>
            <w:tcBorders>
              <w:top w:val="single" w:sz="4" w:space="0" w:color="000000"/>
              <w:left w:val="single" w:sz="4" w:space="0" w:color="ffffff"/>
              <w:bottom w:val="single" w:sz="4" w:space="0" w:color="000000"/>
            </w:tcBorders>
          </w:tcPr>
          <w:p>
            <w:pPr>
              <w:pStyle w:val="style0"/>
              <w:tabs>
                <w:tab w:val="left" w:leader="none" w:pos="3523"/>
              </w:tabs>
              <w:spacing w:lineRule="auto" w:line="360"/>
              <w:jc w:val="both"/>
              <w:rPr>
                <w:rFonts w:ascii="Arial" w:cs="Arial" w:hAnsi="Arial"/>
              </w:rPr>
            </w:pPr>
            <w:r>
              <w:rPr>
                <w:rFonts w:ascii="Arial" w:cs="Arial" w:hAnsi="Arial"/>
                <w:b/>
              </w:rPr>
              <w:t>Total</w:t>
            </w:r>
          </w:p>
        </w:tc>
        <w:tc>
          <w:tcPr>
            <w:tcW w:w="2530" w:type="dxa"/>
            <w:tcBorders>
              <w:top w:val="single" w:sz="4" w:space="0" w:color="000000"/>
              <w:left w:val="single" w:sz="4" w:space="0" w:color="000000"/>
              <w:bottom w:val="single" w:sz="4" w:space="0" w:color="000000"/>
            </w:tcBorders>
          </w:tcPr>
          <w:p>
            <w:pPr>
              <w:pStyle w:val="style0"/>
              <w:tabs>
                <w:tab w:val="left" w:leader="none" w:pos="3523"/>
              </w:tabs>
              <w:spacing w:lineRule="auto" w:line="360"/>
              <w:jc w:val="both"/>
              <w:rPr>
                <w:rFonts w:ascii="Arial" w:cs="Arial" w:hAnsi="Arial"/>
              </w:rPr>
            </w:pPr>
            <w:r>
              <w:rPr>
                <w:rFonts w:ascii="Arial" w:cs="Arial" w:hAnsi="Arial"/>
                <w:b/>
              </w:rPr>
              <w:t>140</w:t>
            </w:r>
          </w:p>
        </w:tc>
        <w:tc>
          <w:tcPr>
            <w:tcW w:w="2035" w:type="dxa"/>
            <w:tcBorders>
              <w:top w:val="single" w:sz="4" w:space="0" w:color="000000"/>
              <w:left w:val="single" w:sz="4" w:space="0" w:color="000000"/>
              <w:bottom w:val="single" w:sz="4" w:space="0" w:color="000000"/>
              <w:right w:val="single" w:sz="4" w:space="0" w:color="ffffff"/>
            </w:tcBorders>
          </w:tcPr>
          <w:p>
            <w:pPr>
              <w:pStyle w:val="style0"/>
              <w:tabs>
                <w:tab w:val="left" w:leader="none" w:pos="3523"/>
              </w:tabs>
              <w:spacing w:lineRule="auto" w:line="360"/>
              <w:jc w:val="both"/>
              <w:rPr>
                <w:rFonts w:ascii="Arial" w:cs="Arial" w:hAnsi="Arial"/>
              </w:rPr>
            </w:pPr>
            <w:r>
              <w:rPr>
                <w:rFonts w:ascii="Arial" w:cs="Arial" w:hAnsi="Arial"/>
                <w:b/>
              </w:rPr>
              <w:t>100</w:t>
            </w:r>
          </w:p>
        </w:tc>
      </w:tr>
    </w:tbl>
    <w:p>
      <w:pPr>
        <w:pStyle w:val="style0"/>
        <w:spacing w:lineRule="auto" w:line="360"/>
        <w:ind w:left="1134" w:right="991"/>
        <w:jc w:val="both"/>
        <w:rPr>
          <w:rFonts w:ascii="Arial" w:cs="Arial" w:hAnsi="Arial"/>
        </w:rPr>
      </w:pPr>
    </w:p>
    <w:p>
      <w:pPr>
        <w:pStyle w:val="style0"/>
        <w:spacing w:lineRule="auto" w:line="360"/>
        <w:jc w:val="both"/>
        <w:rPr>
          <w:rFonts w:ascii="Arial" w:cs="Arial" w:hAnsi="Arial"/>
        </w:rPr>
      </w:pPr>
      <w:r>
        <w:rPr>
          <w:rFonts w:ascii="Arial" w:cs="Arial" w:hAnsi="Arial"/>
        </w:rPr>
        <w:t>Fuente: Datos primarios del autor</w:t>
      </w:r>
    </w:p>
    <w:p>
      <w:pPr>
        <w:pStyle w:val="style0"/>
        <w:spacing w:lineRule="auto" w:line="360"/>
        <w:jc w:val="both"/>
        <w:rPr>
          <w:rFonts w:ascii="Arial" w:cs="Arial" w:hAnsi="Arial"/>
        </w:rPr>
      </w:pPr>
    </w:p>
    <w:p>
      <w:pPr>
        <w:pStyle w:val="style0"/>
        <w:spacing w:lineRule="auto" w:line="360"/>
        <w:jc w:val="both"/>
        <w:rPr>
          <w:rFonts w:ascii="Arial" w:cs="Arial" w:hAnsi="Arial"/>
        </w:rPr>
      </w:pPr>
      <w:r>
        <w:rPr>
          <w:rFonts w:ascii="Arial" w:cs="Arial" w:hAnsi="Arial"/>
        </w:rPr>
        <w:t xml:space="preserve">La Tabla 3 representa la distribución de los pacientes del Consultorio 13 del Policlínico Mario Gutiérrez del municipio Holguín durante el año 2017 según la </w:t>
      </w:r>
      <w:r>
        <w:rPr>
          <w:rFonts w:ascii="Arial" w:cs="Arial" w:hAnsi="Arial"/>
          <w:lang w:eastAsia="es-US"/>
        </w:rPr>
        <w:t>fuente de información para la adquisición de los conocimientos sobre enfermedades cardiovasculares</w:t>
      </w:r>
      <w:r>
        <w:rPr>
          <w:rFonts w:ascii="Arial" w:cs="Arial" w:hAnsi="Arial"/>
        </w:rPr>
        <w:t xml:space="preserve">, evidenciándose que la familia, televisión y radio fueron las principales fuentes de información para adquirir los conocimientos que poseían los pacientes, representado por 100 entre ambas fuentes para un 71.42% del total, destacando la pobre aplicación en esta comunidad del programa del médico y enfermera de la familia. </w:t>
      </w:r>
    </w:p>
    <w:p>
      <w:pPr>
        <w:pStyle w:val="style0"/>
        <w:spacing w:lineRule="auto" w:line="360"/>
        <w:jc w:val="both"/>
        <w:rPr>
          <w:rFonts w:ascii="Arial" w:cs="Arial" w:hAnsi="Arial"/>
          <w:b/>
          <w:bCs/>
          <w:u w:val="single"/>
        </w:rPr>
      </w:pPr>
    </w:p>
    <w:p>
      <w:pPr>
        <w:pStyle w:val="style0"/>
        <w:spacing w:lineRule="auto" w:line="360"/>
        <w:jc w:val="both"/>
        <w:rPr>
          <w:rFonts w:ascii="Arial" w:cs="Arial" w:hAnsi="Arial"/>
        </w:rPr>
      </w:pPr>
      <w:r>
        <w:rPr>
          <w:rFonts w:ascii="Arial" w:cs="Arial" w:hAnsi="Arial"/>
          <w:b/>
          <w:bCs/>
          <w:u w:val="single"/>
        </w:rPr>
        <w:t>Tabla4:</w:t>
      </w:r>
      <w:r>
        <w:rPr>
          <w:rFonts w:ascii="Arial" w:cs="Arial" w:hAnsi="Arial"/>
          <w:b/>
          <w:bCs/>
        </w:rPr>
        <w:t xml:space="preserve"> Distribución de pacientes según </w:t>
      </w:r>
      <w:r>
        <w:rPr>
          <w:rFonts w:ascii="Arial" w:cs="Arial" w:hAnsi="Arial"/>
          <w:b/>
          <w:lang w:eastAsia="es-US"/>
        </w:rPr>
        <w:t xml:space="preserve">evaluación </w:t>
      </w:r>
      <w:r>
        <w:rPr>
          <w:rFonts w:ascii="Arial" w:cs="Arial" w:hAnsi="Arial"/>
          <w:b/>
        </w:rPr>
        <w:t>sobre el conocimiento de factores de riesgo coronarios antes y después de la intervención.</w:t>
      </w:r>
      <w:r>
        <w:rPr>
          <w:rFonts w:ascii="Arial" w:cs="Arial" w:hAnsi="Arial"/>
          <w:b/>
          <w:bCs/>
        </w:rPr>
        <w:t xml:space="preserve"> Consultorio 13. Policlínico </w:t>
      </w:r>
      <w:r>
        <w:rPr>
          <w:rFonts w:ascii="Arial" w:cs="Arial" w:hAnsi="Arial"/>
          <w:b/>
          <w:bCs/>
          <w:color w:val="000000"/>
        </w:rPr>
        <w:t>Mario Gutiérrez</w:t>
      </w:r>
      <w:r>
        <w:rPr>
          <w:rFonts w:ascii="Arial" w:cs="Arial" w:hAnsi="Arial"/>
          <w:b/>
          <w:bCs/>
        </w:rPr>
        <w:t>. Ho</w:t>
      </w:r>
      <w:r>
        <w:rPr>
          <w:rFonts w:ascii="Arial" w:cs="Arial" w:hAnsi="Arial"/>
          <w:b/>
          <w:bCs/>
        </w:rPr>
        <w:t>lguín. 2023</w:t>
      </w:r>
    </w:p>
    <w:p>
      <w:pPr>
        <w:pStyle w:val="style0"/>
        <w:spacing w:lineRule="auto" w:line="360"/>
        <w:ind w:left="1134" w:right="991"/>
        <w:jc w:val="both"/>
        <w:rPr>
          <w:rFonts w:ascii="Arial" w:cs="Arial" w:hAnsi="Arial"/>
          <w:b/>
        </w:rPr>
      </w:pPr>
    </w:p>
    <w:tbl>
      <w:tblPr>
        <w:tblW w:w="0" w:type="auto"/>
        <w:tblInd w:w="59" w:type="dxa"/>
        <w:tblLayout w:type="fixed"/>
        <w:tblCellMar>
          <w:left w:w="59" w:type="dxa"/>
          <w:right w:w="59" w:type="dxa"/>
        </w:tblCellMar>
        <w:tblLook w:val="0000" w:firstRow="0" w:lastRow="0" w:firstColumn="0" w:lastColumn="0" w:noHBand="0" w:noVBand="0"/>
      </w:tblPr>
      <w:tblGrid>
        <w:gridCol w:w="2800"/>
        <w:gridCol w:w="1700"/>
        <w:gridCol w:w="1416"/>
        <w:gridCol w:w="1287"/>
        <w:gridCol w:w="1488"/>
      </w:tblGrid>
      <w:tr>
        <w:trPr>
          <w:cantSplit/>
          <w:trHeight w:val="419" w:hRule="atLeast"/>
        </w:trPr>
        <w:tc>
          <w:tcPr>
            <w:tcW w:w="2800" w:type="dxa"/>
            <w:vMerge w:val="restart"/>
            <w:tcBorders>
              <w:top w:val="single" w:sz="4" w:space="0" w:color="000000"/>
              <w:left w:val="single" w:sz="4" w:space="0" w:color="ffffff"/>
              <w:bottom w:val="single" w:sz="4" w:space="0" w:color="000000"/>
            </w:tcBorders>
            <w:vAlign w:val="center"/>
          </w:tcPr>
          <w:p>
            <w:pPr>
              <w:pStyle w:val="style0"/>
              <w:autoSpaceDE w:val="false"/>
              <w:spacing w:lineRule="auto" w:line="360"/>
              <w:jc w:val="both"/>
              <w:rPr>
                <w:rFonts w:ascii="Arial" w:cs="Arial" w:hAnsi="Arial"/>
              </w:rPr>
            </w:pPr>
            <w:r>
              <w:rPr>
                <w:rFonts w:ascii="Arial" w:cs="Arial" w:hAnsi="Arial"/>
                <w:b/>
                <w:lang w:eastAsia="es-US"/>
              </w:rPr>
              <w:t xml:space="preserve">Evaluación </w:t>
            </w:r>
            <w:r>
              <w:rPr>
                <w:rFonts w:ascii="Arial" w:cs="Arial" w:hAnsi="Arial"/>
                <w:b/>
              </w:rPr>
              <w:t xml:space="preserve">sobre el conocimiento de factores de riesgo coronarios </w:t>
            </w:r>
          </w:p>
        </w:tc>
        <w:tc>
          <w:tcPr>
            <w:tcW w:w="3116" w:type="dxa"/>
            <w:gridSpan w:val="2"/>
            <w:tcBorders>
              <w:top w:val="single" w:sz="4" w:space="0" w:color="000000"/>
              <w:left w:val="single" w:sz="4" w:space="0" w:color="000000"/>
              <w:bottom w:val="single" w:sz="4" w:space="0" w:color="000000"/>
            </w:tcBorders>
          </w:tcPr>
          <w:p>
            <w:pPr>
              <w:pStyle w:val="style0"/>
              <w:autoSpaceDE w:val="false"/>
              <w:spacing w:lineRule="auto" w:line="360"/>
              <w:jc w:val="both"/>
              <w:rPr>
                <w:rFonts w:ascii="Arial" w:cs="Arial" w:hAnsi="Arial"/>
              </w:rPr>
            </w:pPr>
            <w:r>
              <w:rPr>
                <w:rFonts w:ascii="Arial" w:cs="Arial" w:hAnsi="Arial"/>
                <w:b/>
                <w:color w:val="0d0d0d"/>
              </w:rPr>
              <w:t>Antes</w:t>
            </w:r>
          </w:p>
        </w:tc>
        <w:tc>
          <w:tcPr>
            <w:tcW w:w="2775" w:type="dxa"/>
            <w:gridSpan w:val="2"/>
            <w:tcBorders>
              <w:top w:val="single" w:sz="4" w:space="0" w:color="000000"/>
              <w:left w:val="single" w:sz="4" w:space="0" w:color="000000"/>
              <w:bottom w:val="single" w:sz="4" w:space="0" w:color="000000"/>
              <w:right w:val="single" w:sz="4" w:space="0" w:color="ffffff"/>
            </w:tcBorders>
          </w:tcPr>
          <w:p>
            <w:pPr>
              <w:pStyle w:val="style0"/>
              <w:autoSpaceDE w:val="false"/>
              <w:spacing w:lineRule="auto" w:line="360"/>
              <w:jc w:val="both"/>
              <w:rPr>
                <w:rFonts w:ascii="Arial" w:cs="Arial" w:hAnsi="Arial"/>
              </w:rPr>
            </w:pPr>
            <w:r>
              <w:rPr>
                <w:rFonts w:ascii="Arial" w:cs="Arial" w:hAnsi="Arial"/>
                <w:b/>
                <w:color w:val="0d0d0d"/>
              </w:rPr>
              <w:t>Después</w:t>
            </w:r>
          </w:p>
        </w:tc>
      </w:tr>
      <w:tr>
        <w:tblPrEx/>
        <w:trPr>
          <w:cantSplit/>
          <w:trHeight w:val="419" w:hRule="atLeast"/>
        </w:trPr>
        <w:tc>
          <w:tcPr>
            <w:tcW w:w="2800" w:type="dxa"/>
            <w:vMerge w:val="continue"/>
            <w:tcBorders>
              <w:top w:val="single" w:sz="4" w:space="0" w:color="000000"/>
              <w:left w:val="single" w:sz="4" w:space="0" w:color="ffffff"/>
              <w:bottom w:val="single" w:sz="4" w:space="0" w:color="000000"/>
            </w:tcBorders>
          </w:tcPr>
          <w:p>
            <w:pPr>
              <w:pStyle w:val="style0"/>
              <w:autoSpaceDE w:val="false"/>
              <w:snapToGrid w:val="false"/>
              <w:spacing w:after="200" w:lineRule="auto" w:line="360"/>
              <w:jc w:val="both"/>
              <w:rPr>
                <w:rFonts w:ascii="Arial" w:cs="Arial" w:hAnsi="Arial"/>
              </w:rPr>
            </w:pPr>
          </w:p>
        </w:tc>
        <w:tc>
          <w:tcPr>
            <w:tcW w:w="1700" w:type="dxa"/>
            <w:tcBorders>
              <w:top w:val="single" w:sz="4" w:space="0" w:color="000000"/>
              <w:left w:val="single" w:sz="4" w:space="0" w:color="000000"/>
              <w:bottom w:val="single" w:sz="4" w:space="0" w:color="000000"/>
            </w:tcBorders>
          </w:tcPr>
          <w:p>
            <w:pPr>
              <w:pStyle w:val="style0"/>
              <w:autoSpaceDE w:val="false"/>
              <w:spacing w:lineRule="auto" w:line="360"/>
              <w:jc w:val="both"/>
              <w:rPr>
                <w:rFonts w:ascii="Arial" w:cs="Arial" w:hAnsi="Arial"/>
              </w:rPr>
            </w:pPr>
            <w:r>
              <w:rPr>
                <w:rFonts w:ascii="Arial" w:cs="Arial" w:hAnsi="Arial"/>
                <w:b/>
                <w:color w:val="0d0d0d"/>
              </w:rPr>
              <w:t>No</w:t>
            </w:r>
          </w:p>
        </w:tc>
        <w:tc>
          <w:tcPr>
            <w:tcW w:w="1416" w:type="dxa"/>
            <w:tcBorders>
              <w:top w:val="single" w:sz="4" w:space="0" w:color="000000"/>
              <w:left w:val="single" w:sz="4" w:space="0" w:color="000000"/>
              <w:bottom w:val="single" w:sz="4" w:space="0" w:color="000000"/>
            </w:tcBorders>
          </w:tcPr>
          <w:p>
            <w:pPr>
              <w:pStyle w:val="style0"/>
              <w:autoSpaceDE w:val="false"/>
              <w:spacing w:lineRule="auto" w:line="360"/>
              <w:jc w:val="both"/>
              <w:rPr>
                <w:rFonts w:ascii="Arial" w:cs="Arial" w:hAnsi="Arial"/>
              </w:rPr>
            </w:pPr>
            <w:r>
              <w:rPr>
                <w:rFonts w:ascii="Arial" w:cs="Arial" w:hAnsi="Arial"/>
                <w:b/>
                <w:color w:val="0d0d0d"/>
              </w:rPr>
              <w:t>%</w:t>
            </w:r>
          </w:p>
        </w:tc>
        <w:tc>
          <w:tcPr>
            <w:tcW w:w="1287" w:type="dxa"/>
            <w:tcBorders>
              <w:top w:val="single" w:sz="4" w:space="0" w:color="000000"/>
              <w:left w:val="single" w:sz="4" w:space="0" w:color="000000"/>
              <w:bottom w:val="single" w:sz="4" w:space="0" w:color="000000"/>
            </w:tcBorders>
          </w:tcPr>
          <w:p>
            <w:pPr>
              <w:pStyle w:val="style0"/>
              <w:autoSpaceDE w:val="false"/>
              <w:spacing w:lineRule="auto" w:line="360"/>
              <w:jc w:val="both"/>
              <w:rPr>
                <w:rFonts w:ascii="Arial" w:cs="Arial" w:hAnsi="Arial"/>
              </w:rPr>
            </w:pPr>
            <w:r>
              <w:rPr>
                <w:rFonts w:ascii="Arial" w:cs="Arial" w:hAnsi="Arial"/>
                <w:b/>
                <w:color w:val="0d0d0d"/>
              </w:rPr>
              <w:t>No</w:t>
            </w:r>
          </w:p>
        </w:tc>
        <w:tc>
          <w:tcPr>
            <w:tcW w:w="1488" w:type="dxa"/>
            <w:tcBorders>
              <w:top w:val="single" w:sz="4" w:space="0" w:color="000000"/>
              <w:left w:val="single" w:sz="4" w:space="0" w:color="000000"/>
              <w:bottom w:val="single" w:sz="4" w:space="0" w:color="000000"/>
              <w:right w:val="single" w:sz="4" w:space="0" w:color="ffffff"/>
            </w:tcBorders>
          </w:tcPr>
          <w:p>
            <w:pPr>
              <w:pStyle w:val="style0"/>
              <w:autoSpaceDE w:val="false"/>
              <w:spacing w:lineRule="auto" w:line="360"/>
              <w:jc w:val="both"/>
              <w:rPr>
                <w:rFonts w:ascii="Arial" w:cs="Arial" w:hAnsi="Arial"/>
              </w:rPr>
            </w:pPr>
            <w:r>
              <w:rPr>
                <w:rFonts w:ascii="Arial" w:cs="Arial" w:hAnsi="Arial"/>
                <w:b/>
                <w:color w:val="0d0d0d"/>
              </w:rPr>
              <w:t>%</w:t>
            </w:r>
          </w:p>
        </w:tc>
      </w:tr>
      <w:tr>
        <w:tblPrEx/>
        <w:trPr>
          <w:trHeight w:val="499" w:hRule="atLeast"/>
        </w:trPr>
        <w:tc>
          <w:tcPr>
            <w:tcW w:w="2800" w:type="dxa"/>
            <w:tcBorders>
              <w:top w:val="single" w:sz="4" w:space="0" w:color="000000"/>
              <w:left w:val="single" w:sz="4" w:space="0" w:color="ffffff"/>
              <w:bottom w:val="single" w:sz="4" w:space="0" w:color="000000"/>
            </w:tcBorders>
          </w:tcPr>
          <w:p>
            <w:pPr>
              <w:pStyle w:val="style0"/>
              <w:autoSpaceDE w:val="false"/>
              <w:spacing w:lineRule="auto" w:line="360"/>
              <w:jc w:val="both"/>
              <w:rPr>
                <w:rFonts w:ascii="Arial" w:cs="Arial" w:hAnsi="Arial"/>
              </w:rPr>
            </w:pPr>
            <w:r>
              <w:rPr>
                <w:rFonts w:ascii="Arial" w:cs="Arial" w:hAnsi="Arial"/>
                <w:b/>
                <w:color w:val="0d0d0d"/>
              </w:rPr>
              <w:t xml:space="preserve">Adecuado </w:t>
            </w:r>
          </w:p>
        </w:tc>
        <w:tc>
          <w:tcPr>
            <w:tcW w:w="1700" w:type="dxa"/>
            <w:tcBorders>
              <w:top w:val="single" w:sz="4" w:space="0" w:color="000000"/>
              <w:left w:val="single" w:sz="4" w:space="0" w:color="000000"/>
              <w:bottom w:val="single" w:sz="4" w:space="0" w:color="000000"/>
            </w:tcBorders>
          </w:tcPr>
          <w:p>
            <w:pPr>
              <w:pStyle w:val="style0"/>
              <w:autoSpaceDE w:val="false"/>
              <w:spacing w:lineRule="auto" w:line="360"/>
              <w:jc w:val="both"/>
              <w:rPr>
                <w:rFonts w:ascii="Arial" w:cs="Arial" w:hAnsi="Arial"/>
              </w:rPr>
            </w:pPr>
            <w:r>
              <w:rPr>
                <w:rFonts w:ascii="Arial" w:cs="Arial" w:hAnsi="Arial"/>
                <w:b/>
                <w:color w:val="0d0d0d"/>
              </w:rPr>
              <w:t>15</w:t>
            </w:r>
          </w:p>
        </w:tc>
        <w:tc>
          <w:tcPr>
            <w:tcW w:w="1416" w:type="dxa"/>
            <w:tcBorders>
              <w:top w:val="single" w:sz="4" w:space="0" w:color="000000"/>
              <w:left w:val="single" w:sz="4" w:space="0" w:color="000000"/>
              <w:bottom w:val="single" w:sz="4" w:space="0" w:color="000000"/>
            </w:tcBorders>
          </w:tcPr>
          <w:p>
            <w:pPr>
              <w:pStyle w:val="style0"/>
              <w:autoSpaceDE w:val="false"/>
              <w:spacing w:lineRule="auto" w:line="360"/>
              <w:jc w:val="both"/>
              <w:rPr>
                <w:rFonts w:ascii="Arial" w:cs="Arial" w:hAnsi="Arial"/>
              </w:rPr>
            </w:pPr>
            <w:r>
              <w:rPr>
                <w:rFonts w:ascii="Arial" w:cs="Arial" w:hAnsi="Arial"/>
                <w:b/>
                <w:color w:val="0d0d0d"/>
              </w:rPr>
              <w:t>10.71</w:t>
            </w:r>
          </w:p>
        </w:tc>
        <w:tc>
          <w:tcPr>
            <w:tcW w:w="1287" w:type="dxa"/>
            <w:tcBorders>
              <w:top w:val="single" w:sz="4" w:space="0" w:color="000000"/>
              <w:left w:val="single" w:sz="4" w:space="0" w:color="000000"/>
              <w:bottom w:val="single" w:sz="4" w:space="0" w:color="000000"/>
            </w:tcBorders>
          </w:tcPr>
          <w:p>
            <w:pPr>
              <w:pStyle w:val="style0"/>
              <w:autoSpaceDE w:val="false"/>
              <w:spacing w:lineRule="auto" w:line="360"/>
              <w:jc w:val="both"/>
              <w:rPr>
                <w:rFonts w:ascii="Arial" w:cs="Arial" w:hAnsi="Arial"/>
              </w:rPr>
            </w:pPr>
            <w:r>
              <w:rPr>
                <w:rFonts w:ascii="Arial" w:cs="Arial" w:hAnsi="Arial"/>
                <w:b/>
                <w:color w:val="0d0d0d"/>
              </w:rPr>
              <w:t>130</w:t>
            </w:r>
          </w:p>
        </w:tc>
        <w:tc>
          <w:tcPr>
            <w:tcW w:w="1488" w:type="dxa"/>
            <w:tcBorders>
              <w:top w:val="single" w:sz="4" w:space="0" w:color="000000"/>
              <w:left w:val="single" w:sz="4" w:space="0" w:color="000000"/>
              <w:bottom w:val="single" w:sz="4" w:space="0" w:color="000000"/>
              <w:right w:val="single" w:sz="4" w:space="0" w:color="ffffff"/>
            </w:tcBorders>
          </w:tcPr>
          <w:p>
            <w:pPr>
              <w:pStyle w:val="style0"/>
              <w:autoSpaceDE w:val="false"/>
              <w:spacing w:lineRule="auto" w:line="360"/>
              <w:jc w:val="both"/>
              <w:rPr>
                <w:rFonts w:ascii="Arial" w:cs="Arial" w:hAnsi="Arial"/>
              </w:rPr>
            </w:pPr>
            <w:r>
              <w:rPr>
                <w:rFonts w:ascii="Arial" w:cs="Arial" w:hAnsi="Arial"/>
                <w:b/>
                <w:color w:val="0d0d0d"/>
              </w:rPr>
              <w:t>92.85</w:t>
            </w:r>
          </w:p>
        </w:tc>
      </w:tr>
      <w:tr>
        <w:tblPrEx/>
        <w:trPr>
          <w:trHeight w:val="499" w:hRule="atLeast"/>
        </w:trPr>
        <w:tc>
          <w:tcPr>
            <w:tcW w:w="2800" w:type="dxa"/>
            <w:tcBorders>
              <w:top w:val="single" w:sz="4" w:space="0" w:color="000000"/>
              <w:left w:val="single" w:sz="4" w:space="0" w:color="ffffff"/>
              <w:bottom w:val="single" w:sz="4" w:space="0" w:color="000000"/>
            </w:tcBorders>
          </w:tcPr>
          <w:p>
            <w:pPr>
              <w:pStyle w:val="style0"/>
              <w:autoSpaceDE w:val="false"/>
              <w:spacing w:lineRule="auto" w:line="360"/>
              <w:jc w:val="both"/>
              <w:rPr>
                <w:rFonts w:ascii="Arial" w:cs="Arial" w:hAnsi="Arial"/>
              </w:rPr>
            </w:pPr>
            <w:r>
              <w:rPr>
                <w:rFonts w:ascii="Arial" w:cs="Arial" w:hAnsi="Arial"/>
                <w:b/>
                <w:color w:val="0d0d0d"/>
              </w:rPr>
              <w:t>Inadecuado</w:t>
            </w:r>
          </w:p>
        </w:tc>
        <w:tc>
          <w:tcPr>
            <w:tcW w:w="1700" w:type="dxa"/>
            <w:tcBorders>
              <w:top w:val="single" w:sz="4" w:space="0" w:color="000000"/>
              <w:left w:val="single" w:sz="4" w:space="0" w:color="000000"/>
              <w:bottom w:val="single" w:sz="4" w:space="0" w:color="000000"/>
            </w:tcBorders>
          </w:tcPr>
          <w:p>
            <w:pPr>
              <w:pStyle w:val="style0"/>
              <w:autoSpaceDE w:val="false"/>
              <w:spacing w:lineRule="auto" w:line="360"/>
              <w:jc w:val="both"/>
              <w:rPr>
                <w:rFonts w:ascii="Arial" w:cs="Arial" w:hAnsi="Arial"/>
              </w:rPr>
            </w:pPr>
            <w:r>
              <w:rPr>
                <w:rFonts w:ascii="Arial" w:cs="Arial" w:hAnsi="Arial"/>
                <w:b/>
                <w:color w:val="0d0d0d"/>
              </w:rPr>
              <w:t>125</w:t>
            </w:r>
          </w:p>
        </w:tc>
        <w:tc>
          <w:tcPr>
            <w:tcW w:w="1416" w:type="dxa"/>
            <w:tcBorders>
              <w:top w:val="single" w:sz="4" w:space="0" w:color="000000"/>
              <w:left w:val="single" w:sz="4" w:space="0" w:color="000000"/>
              <w:bottom w:val="single" w:sz="4" w:space="0" w:color="000000"/>
            </w:tcBorders>
          </w:tcPr>
          <w:p>
            <w:pPr>
              <w:pStyle w:val="style0"/>
              <w:autoSpaceDE w:val="false"/>
              <w:spacing w:lineRule="auto" w:line="360"/>
              <w:jc w:val="both"/>
              <w:rPr>
                <w:rFonts w:ascii="Arial" w:cs="Arial" w:hAnsi="Arial"/>
              </w:rPr>
            </w:pPr>
            <w:r>
              <w:rPr>
                <w:rFonts w:ascii="Arial" w:cs="Arial" w:hAnsi="Arial"/>
                <w:b/>
                <w:color w:val="0d0d0d"/>
              </w:rPr>
              <w:t>89.29</w:t>
            </w:r>
          </w:p>
        </w:tc>
        <w:tc>
          <w:tcPr>
            <w:tcW w:w="1287" w:type="dxa"/>
            <w:tcBorders>
              <w:top w:val="single" w:sz="4" w:space="0" w:color="000000"/>
              <w:left w:val="single" w:sz="4" w:space="0" w:color="000000"/>
              <w:bottom w:val="single" w:sz="4" w:space="0" w:color="000000"/>
            </w:tcBorders>
          </w:tcPr>
          <w:p>
            <w:pPr>
              <w:pStyle w:val="style0"/>
              <w:autoSpaceDE w:val="false"/>
              <w:spacing w:lineRule="auto" w:line="360"/>
              <w:jc w:val="both"/>
              <w:rPr>
                <w:rFonts w:ascii="Arial" w:cs="Arial" w:hAnsi="Arial"/>
              </w:rPr>
            </w:pPr>
            <w:r>
              <w:rPr>
                <w:rFonts w:ascii="Arial" w:cs="Arial" w:hAnsi="Arial"/>
                <w:b/>
                <w:color w:val="0d0d0d"/>
              </w:rPr>
              <w:t>10</w:t>
            </w:r>
          </w:p>
        </w:tc>
        <w:tc>
          <w:tcPr>
            <w:tcW w:w="1488" w:type="dxa"/>
            <w:tcBorders>
              <w:top w:val="single" w:sz="4" w:space="0" w:color="000000"/>
              <w:left w:val="single" w:sz="4" w:space="0" w:color="000000"/>
              <w:bottom w:val="single" w:sz="4" w:space="0" w:color="000000"/>
              <w:right w:val="single" w:sz="4" w:space="0" w:color="ffffff"/>
            </w:tcBorders>
          </w:tcPr>
          <w:p>
            <w:pPr>
              <w:pStyle w:val="style0"/>
              <w:autoSpaceDE w:val="false"/>
              <w:spacing w:lineRule="auto" w:line="360"/>
              <w:jc w:val="both"/>
              <w:rPr>
                <w:rFonts w:ascii="Arial" w:cs="Arial" w:hAnsi="Arial"/>
              </w:rPr>
            </w:pPr>
            <w:r>
              <w:rPr>
                <w:rFonts w:ascii="Arial" w:cs="Arial" w:hAnsi="Arial"/>
                <w:b/>
                <w:color w:val="0d0d0d"/>
              </w:rPr>
              <w:t>7.15</w:t>
            </w:r>
          </w:p>
        </w:tc>
      </w:tr>
      <w:tr>
        <w:tblPrEx/>
        <w:trPr>
          <w:trHeight w:val="419" w:hRule="atLeast"/>
        </w:trPr>
        <w:tc>
          <w:tcPr>
            <w:tcW w:w="2800" w:type="dxa"/>
            <w:tcBorders>
              <w:top w:val="single" w:sz="4" w:space="0" w:color="000000"/>
              <w:left w:val="single" w:sz="4" w:space="0" w:color="ffffff"/>
              <w:bottom w:val="single" w:sz="4" w:space="0" w:color="000000"/>
            </w:tcBorders>
          </w:tcPr>
          <w:p>
            <w:pPr>
              <w:pStyle w:val="style0"/>
              <w:autoSpaceDE w:val="false"/>
              <w:spacing w:lineRule="auto" w:line="360"/>
              <w:jc w:val="both"/>
              <w:rPr>
                <w:rFonts w:ascii="Arial" w:cs="Arial" w:hAnsi="Arial"/>
              </w:rPr>
            </w:pPr>
            <w:r>
              <w:rPr>
                <w:rFonts w:ascii="Arial" w:cs="Arial" w:hAnsi="Arial"/>
                <w:b/>
                <w:color w:val="0d0d0d"/>
              </w:rPr>
              <w:t>Total</w:t>
            </w:r>
          </w:p>
        </w:tc>
        <w:tc>
          <w:tcPr>
            <w:tcW w:w="1700" w:type="dxa"/>
            <w:tcBorders>
              <w:top w:val="single" w:sz="4" w:space="0" w:color="000000"/>
              <w:left w:val="single" w:sz="4" w:space="0" w:color="000000"/>
              <w:bottom w:val="single" w:sz="4" w:space="0" w:color="000000"/>
            </w:tcBorders>
          </w:tcPr>
          <w:p>
            <w:pPr>
              <w:pStyle w:val="style0"/>
              <w:autoSpaceDE w:val="false"/>
              <w:spacing w:lineRule="auto" w:line="360"/>
              <w:jc w:val="both"/>
              <w:rPr>
                <w:rFonts w:ascii="Arial" w:cs="Arial" w:hAnsi="Arial"/>
              </w:rPr>
            </w:pPr>
            <w:r>
              <w:rPr>
                <w:rFonts w:ascii="Arial" w:cs="Arial" w:hAnsi="Arial"/>
                <w:b/>
                <w:color w:val="0d0d0d"/>
              </w:rPr>
              <w:t>140</w:t>
            </w:r>
          </w:p>
        </w:tc>
        <w:tc>
          <w:tcPr>
            <w:tcW w:w="1416" w:type="dxa"/>
            <w:tcBorders>
              <w:top w:val="single" w:sz="4" w:space="0" w:color="000000"/>
              <w:left w:val="single" w:sz="4" w:space="0" w:color="000000"/>
              <w:bottom w:val="single" w:sz="4" w:space="0" w:color="000000"/>
            </w:tcBorders>
          </w:tcPr>
          <w:p>
            <w:pPr>
              <w:pStyle w:val="style0"/>
              <w:autoSpaceDE w:val="false"/>
              <w:spacing w:lineRule="auto" w:line="360"/>
              <w:jc w:val="both"/>
              <w:rPr>
                <w:rFonts w:ascii="Arial" w:cs="Arial" w:hAnsi="Arial"/>
              </w:rPr>
            </w:pPr>
            <w:r>
              <w:rPr>
                <w:rFonts w:ascii="Arial" w:cs="Arial" w:hAnsi="Arial"/>
                <w:b/>
                <w:color w:val="0d0d0d"/>
              </w:rPr>
              <w:t>100</w:t>
            </w:r>
          </w:p>
        </w:tc>
        <w:tc>
          <w:tcPr>
            <w:tcW w:w="1287" w:type="dxa"/>
            <w:tcBorders>
              <w:top w:val="single" w:sz="4" w:space="0" w:color="000000"/>
              <w:left w:val="single" w:sz="4" w:space="0" w:color="000000"/>
              <w:bottom w:val="single" w:sz="4" w:space="0" w:color="000000"/>
            </w:tcBorders>
          </w:tcPr>
          <w:p>
            <w:pPr>
              <w:pStyle w:val="style0"/>
              <w:autoSpaceDE w:val="false"/>
              <w:spacing w:lineRule="auto" w:line="360"/>
              <w:jc w:val="both"/>
              <w:rPr>
                <w:rFonts w:ascii="Arial" w:cs="Arial" w:hAnsi="Arial"/>
              </w:rPr>
            </w:pPr>
            <w:r>
              <w:rPr>
                <w:rFonts w:ascii="Arial" w:cs="Arial" w:hAnsi="Arial"/>
                <w:b/>
                <w:color w:val="0d0d0d"/>
              </w:rPr>
              <w:t>140</w:t>
            </w:r>
          </w:p>
        </w:tc>
        <w:tc>
          <w:tcPr>
            <w:tcW w:w="1488" w:type="dxa"/>
            <w:tcBorders>
              <w:top w:val="single" w:sz="4" w:space="0" w:color="000000"/>
              <w:left w:val="single" w:sz="4" w:space="0" w:color="000000"/>
              <w:bottom w:val="single" w:sz="4" w:space="0" w:color="000000"/>
              <w:right w:val="single" w:sz="4" w:space="0" w:color="ffffff"/>
            </w:tcBorders>
          </w:tcPr>
          <w:p>
            <w:pPr>
              <w:pStyle w:val="style0"/>
              <w:autoSpaceDE w:val="false"/>
              <w:spacing w:lineRule="auto" w:line="360"/>
              <w:jc w:val="both"/>
              <w:rPr>
                <w:rFonts w:ascii="Arial" w:cs="Arial" w:hAnsi="Arial"/>
              </w:rPr>
            </w:pPr>
            <w:r>
              <w:rPr>
                <w:rFonts w:ascii="Arial" w:cs="Arial" w:hAnsi="Arial"/>
                <w:b/>
                <w:color w:val="0d0d0d"/>
              </w:rPr>
              <w:t>100</w:t>
            </w:r>
          </w:p>
        </w:tc>
      </w:tr>
    </w:tbl>
    <w:p>
      <w:pPr>
        <w:pStyle w:val="style0"/>
        <w:spacing w:lineRule="auto" w:line="360"/>
        <w:jc w:val="both"/>
        <w:rPr>
          <w:rFonts w:ascii="Arial" w:cs="Arial" w:hAnsi="Arial"/>
        </w:rPr>
      </w:pPr>
    </w:p>
    <w:p>
      <w:pPr>
        <w:pStyle w:val="style0"/>
        <w:spacing w:lineRule="auto" w:line="360"/>
        <w:jc w:val="both"/>
        <w:rPr>
          <w:rFonts w:ascii="Arial" w:cs="Arial" w:hAnsi="Arial"/>
        </w:rPr>
      </w:pPr>
      <w:r>
        <w:rPr>
          <w:rFonts w:ascii="Arial" w:cs="Arial" w:hAnsi="Arial"/>
        </w:rPr>
        <w:t>Fuente: Datos primarios del autor</w:t>
      </w:r>
    </w:p>
    <w:p>
      <w:pPr>
        <w:pStyle w:val="style0"/>
        <w:spacing w:lineRule="auto" w:line="360"/>
        <w:jc w:val="both"/>
        <w:rPr>
          <w:rFonts w:ascii="Arial" w:cs="Arial" w:hAnsi="Arial"/>
        </w:rPr>
      </w:pPr>
    </w:p>
    <w:p>
      <w:pPr>
        <w:pStyle w:val="style0"/>
        <w:spacing w:lineRule="auto" w:line="360"/>
        <w:ind w:right="-213"/>
        <w:jc w:val="both"/>
        <w:rPr>
          <w:rFonts w:ascii="Arial" w:cs="Arial" w:hAnsi="Arial"/>
        </w:rPr>
      </w:pPr>
      <w:r>
        <w:rPr>
          <w:rFonts w:ascii="Arial" w:cs="Arial" w:hAnsi="Arial"/>
        </w:rPr>
        <w:t xml:space="preserve">La Tabla 4 representa la distribución de los pacientes del Consultorio 13 del Policlínico Mario Gutiérrez del municipio Holguín durante el año 2017 según la </w:t>
      </w:r>
      <w:r>
        <w:rPr>
          <w:rFonts w:ascii="Arial" w:cs="Arial" w:hAnsi="Arial"/>
          <w:lang w:eastAsia="es-US"/>
        </w:rPr>
        <w:t xml:space="preserve">evaluación </w:t>
      </w:r>
      <w:r>
        <w:rPr>
          <w:rFonts w:ascii="Arial" w:cs="Arial" w:hAnsi="Arial"/>
        </w:rPr>
        <w:t xml:space="preserve">sobre el conocimiento de factores de riesgo coronarios antes y después de la intervención, evidenciándose que antes de la aplicación de la estrategia solo 15 pacientes poseían conocimientos sobre los factores de riesgo coronarios, representando el 10,71 % del total y luego de la aplicación de la intervención 130 pacientes adquirieron los conocimientos lo que representa el 92.85% del total de la muestra estudiada. </w:t>
      </w:r>
    </w:p>
    <w:p>
      <w:pPr>
        <w:pStyle w:val="style0"/>
        <w:spacing w:lineRule="auto" w:line="360"/>
        <w:ind w:right="-213"/>
        <w:jc w:val="both"/>
        <w:rPr>
          <w:rFonts w:ascii="Arial" w:cs="Arial" w:hAnsi="Arial"/>
          <w:b/>
        </w:rPr>
      </w:pPr>
      <w:r>
        <w:rPr>
          <w:rFonts w:ascii="Arial" w:cs="Arial" w:hAnsi="Arial"/>
          <w:b/>
          <w:bCs/>
          <w:u w:val="single"/>
        </w:rPr>
        <w:t>Tabla5:</w:t>
      </w:r>
      <w:r>
        <w:rPr>
          <w:rFonts w:ascii="Arial" w:cs="Arial" w:hAnsi="Arial"/>
          <w:b/>
          <w:bCs/>
        </w:rPr>
        <w:t xml:space="preserve"> Distribución de pacientes según </w:t>
      </w:r>
      <w:r>
        <w:rPr>
          <w:rFonts w:ascii="Arial" w:cs="Arial" w:hAnsi="Arial"/>
          <w:b/>
          <w:lang w:eastAsia="es-US"/>
        </w:rPr>
        <w:t xml:space="preserve">percepción del riesgo </w:t>
      </w:r>
      <w:r>
        <w:rPr>
          <w:rFonts w:ascii="Arial" w:cs="Arial" w:hAnsi="Arial"/>
          <w:b/>
        </w:rPr>
        <w:t>antes y después de la intervención.</w:t>
      </w:r>
      <w:r>
        <w:rPr>
          <w:rFonts w:ascii="Arial" w:cs="Arial" w:hAnsi="Arial"/>
          <w:b/>
          <w:bCs/>
        </w:rPr>
        <w:t xml:space="preserve"> Consultorio 13. Policlínico </w:t>
      </w:r>
      <w:r>
        <w:rPr>
          <w:rFonts w:ascii="Arial" w:cs="Arial" w:hAnsi="Arial"/>
          <w:b/>
          <w:bCs/>
          <w:color w:val="000000"/>
        </w:rPr>
        <w:t xml:space="preserve">Mario </w:t>
      </w:r>
      <w:r>
        <w:rPr>
          <w:rFonts w:ascii="Arial" w:cs="Arial" w:hAnsi="Arial"/>
          <w:b/>
          <w:bCs/>
          <w:color w:val="000000"/>
        </w:rPr>
        <w:t>Gutiérrez</w:t>
      </w:r>
      <w:r>
        <w:rPr>
          <w:rFonts w:ascii="Arial" w:cs="Arial" w:hAnsi="Arial"/>
          <w:b/>
          <w:bCs/>
        </w:rPr>
        <w:t>.Holguín</w:t>
      </w:r>
      <w:r>
        <w:rPr>
          <w:rFonts w:ascii="Arial" w:cs="Arial" w:hAnsi="Arial"/>
          <w:b/>
          <w:bCs/>
        </w:rPr>
        <w:t>. 2023</w:t>
      </w:r>
    </w:p>
    <w:p>
      <w:pPr>
        <w:pStyle w:val="style0"/>
        <w:spacing w:lineRule="auto" w:line="360"/>
        <w:ind w:left="1134" w:right="991"/>
        <w:jc w:val="both"/>
        <w:rPr>
          <w:rFonts w:ascii="Arial" w:cs="Arial" w:hAnsi="Arial"/>
          <w:b/>
        </w:rPr>
      </w:pPr>
    </w:p>
    <w:tbl>
      <w:tblPr>
        <w:tblW w:w="0" w:type="auto"/>
        <w:tblInd w:w="59" w:type="dxa"/>
        <w:tblLayout w:type="fixed"/>
        <w:tblCellMar>
          <w:left w:w="59" w:type="dxa"/>
          <w:right w:w="59" w:type="dxa"/>
        </w:tblCellMar>
        <w:tblLook w:val="0000" w:firstRow="0" w:lastRow="0" w:firstColumn="0" w:lastColumn="0" w:noHBand="0" w:noVBand="0"/>
      </w:tblPr>
      <w:tblGrid>
        <w:gridCol w:w="2800"/>
        <w:gridCol w:w="1700"/>
        <w:gridCol w:w="1416"/>
        <w:gridCol w:w="1287"/>
        <w:gridCol w:w="1488"/>
      </w:tblGrid>
      <w:tr>
        <w:trPr>
          <w:cantSplit/>
          <w:trHeight w:val="419" w:hRule="atLeast"/>
        </w:trPr>
        <w:tc>
          <w:tcPr>
            <w:tcW w:w="2800" w:type="dxa"/>
            <w:vMerge w:val="restart"/>
            <w:tcBorders>
              <w:top w:val="single" w:sz="4" w:space="0" w:color="000000"/>
              <w:left w:val="single" w:sz="4" w:space="0" w:color="ffffff"/>
              <w:bottom w:val="single" w:sz="4" w:space="0" w:color="000000"/>
            </w:tcBorders>
            <w:vAlign w:val="center"/>
          </w:tcPr>
          <w:p>
            <w:pPr>
              <w:pStyle w:val="style0"/>
              <w:autoSpaceDE w:val="false"/>
              <w:spacing w:lineRule="auto" w:line="360"/>
              <w:jc w:val="both"/>
              <w:rPr>
                <w:rFonts w:ascii="Arial" w:cs="Arial" w:hAnsi="Arial"/>
              </w:rPr>
            </w:pPr>
            <w:r>
              <w:rPr>
                <w:rFonts w:ascii="Arial" w:cs="Arial" w:hAnsi="Arial"/>
                <w:b/>
                <w:lang w:eastAsia="es-US"/>
              </w:rPr>
              <w:t>Percepción del riesgo de los pacientes</w:t>
            </w:r>
          </w:p>
        </w:tc>
        <w:tc>
          <w:tcPr>
            <w:tcW w:w="3116" w:type="dxa"/>
            <w:gridSpan w:val="2"/>
            <w:tcBorders>
              <w:top w:val="single" w:sz="4" w:space="0" w:color="000000"/>
              <w:left w:val="single" w:sz="4" w:space="0" w:color="000000"/>
              <w:bottom w:val="single" w:sz="4" w:space="0" w:color="000000"/>
            </w:tcBorders>
          </w:tcPr>
          <w:p>
            <w:pPr>
              <w:pStyle w:val="style0"/>
              <w:autoSpaceDE w:val="false"/>
              <w:spacing w:lineRule="auto" w:line="360"/>
              <w:jc w:val="both"/>
              <w:rPr>
                <w:rFonts w:ascii="Arial" w:cs="Arial" w:hAnsi="Arial"/>
              </w:rPr>
            </w:pPr>
            <w:r>
              <w:rPr>
                <w:rFonts w:ascii="Arial" w:cs="Arial" w:hAnsi="Arial"/>
                <w:b/>
                <w:color w:val="0d0d0d"/>
              </w:rPr>
              <w:t>Antes</w:t>
            </w:r>
          </w:p>
        </w:tc>
        <w:tc>
          <w:tcPr>
            <w:tcW w:w="2775" w:type="dxa"/>
            <w:gridSpan w:val="2"/>
            <w:tcBorders>
              <w:top w:val="single" w:sz="4" w:space="0" w:color="000000"/>
              <w:left w:val="single" w:sz="4" w:space="0" w:color="000000"/>
              <w:bottom w:val="single" w:sz="4" w:space="0" w:color="000000"/>
              <w:right w:val="single" w:sz="4" w:space="0" w:color="ffffff"/>
            </w:tcBorders>
          </w:tcPr>
          <w:p>
            <w:pPr>
              <w:pStyle w:val="style0"/>
              <w:autoSpaceDE w:val="false"/>
              <w:spacing w:lineRule="auto" w:line="360"/>
              <w:jc w:val="both"/>
              <w:rPr>
                <w:rFonts w:ascii="Arial" w:cs="Arial" w:hAnsi="Arial"/>
              </w:rPr>
            </w:pPr>
            <w:r>
              <w:rPr>
                <w:rFonts w:ascii="Arial" w:cs="Arial" w:hAnsi="Arial"/>
                <w:b/>
                <w:color w:val="0d0d0d"/>
              </w:rPr>
              <w:t>Después</w:t>
            </w:r>
          </w:p>
        </w:tc>
      </w:tr>
      <w:tr>
        <w:tblPrEx/>
        <w:trPr>
          <w:cantSplit/>
          <w:trHeight w:val="419" w:hRule="atLeast"/>
        </w:trPr>
        <w:tc>
          <w:tcPr>
            <w:tcW w:w="2800" w:type="dxa"/>
            <w:vMerge w:val="continue"/>
            <w:tcBorders>
              <w:top w:val="single" w:sz="4" w:space="0" w:color="000000"/>
              <w:left w:val="single" w:sz="4" w:space="0" w:color="ffffff"/>
              <w:bottom w:val="single" w:sz="4" w:space="0" w:color="000000"/>
            </w:tcBorders>
          </w:tcPr>
          <w:p>
            <w:pPr>
              <w:pStyle w:val="style0"/>
              <w:autoSpaceDE w:val="false"/>
              <w:snapToGrid w:val="false"/>
              <w:spacing w:after="200" w:lineRule="auto" w:line="360"/>
              <w:jc w:val="both"/>
              <w:rPr>
                <w:rFonts w:ascii="Arial" w:cs="Arial" w:hAnsi="Arial"/>
              </w:rPr>
            </w:pPr>
          </w:p>
        </w:tc>
        <w:tc>
          <w:tcPr>
            <w:tcW w:w="1700" w:type="dxa"/>
            <w:tcBorders>
              <w:top w:val="single" w:sz="4" w:space="0" w:color="000000"/>
              <w:left w:val="single" w:sz="4" w:space="0" w:color="000000"/>
              <w:bottom w:val="single" w:sz="4" w:space="0" w:color="000000"/>
            </w:tcBorders>
          </w:tcPr>
          <w:p>
            <w:pPr>
              <w:pStyle w:val="style0"/>
              <w:autoSpaceDE w:val="false"/>
              <w:spacing w:lineRule="auto" w:line="360"/>
              <w:jc w:val="both"/>
              <w:rPr>
                <w:rFonts w:ascii="Arial" w:cs="Arial" w:hAnsi="Arial"/>
              </w:rPr>
            </w:pPr>
            <w:r>
              <w:rPr>
                <w:rFonts w:ascii="Arial" w:cs="Arial" w:hAnsi="Arial"/>
                <w:b/>
                <w:color w:val="0d0d0d"/>
              </w:rPr>
              <w:t>No</w:t>
            </w:r>
          </w:p>
        </w:tc>
        <w:tc>
          <w:tcPr>
            <w:tcW w:w="1416" w:type="dxa"/>
            <w:tcBorders>
              <w:top w:val="single" w:sz="4" w:space="0" w:color="000000"/>
              <w:left w:val="single" w:sz="4" w:space="0" w:color="000000"/>
              <w:bottom w:val="single" w:sz="4" w:space="0" w:color="000000"/>
            </w:tcBorders>
          </w:tcPr>
          <w:p>
            <w:pPr>
              <w:pStyle w:val="style0"/>
              <w:autoSpaceDE w:val="false"/>
              <w:spacing w:lineRule="auto" w:line="360"/>
              <w:jc w:val="both"/>
              <w:rPr>
                <w:rFonts w:ascii="Arial" w:cs="Arial" w:hAnsi="Arial"/>
              </w:rPr>
            </w:pPr>
            <w:r>
              <w:rPr>
                <w:rFonts w:ascii="Arial" w:cs="Arial" w:hAnsi="Arial"/>
                <w:b/>
                <w:color w:val="0d0d0d"/>
              </w:rPr>
              <w:t>%</w:t>
            </w:r>
          </w:p>
        </w:tc>
        <w:tc>
          <w:tcPr>
            <w:tcW w:w="1287" w:type="dxa"/>
            <w:tcBorders>
              <w:top w:val="single" w:sz="4" w:space="0" w:color="000000"/>
              <w:left w:val="single" w:sz="4" w:space="0" w:color="000000"/>
              <w:bottom w:val="single" w:sz="4" w:space="0" w:color="000000"/>
            </w:tcBorders>
          </w:tcPr>
          <w:p>
            <w:pPr>
              <w:pStyle w:val="style0"/>
              <w:autoSpaceDE w:val="false"/>
              <w:spacing w:lineRule="auto" w:line="360"/>
              <w:jc w:val="both"/>
              <w:rPr>
                <w:rFonts w:ascii="Arial" w:cs="Arial" w:hAnsi="Arial"/>
              </w:rPr>
            </w:pPr>
            <w:r>
              <w:rPr>
                <w:rFonts w:ascii="Arial" w:cs="Arial" w:hAnsi="Arial"/>
                <w:b/>
                <w:color w:val="0d0d0d"/>
              </w:rPr>
              <w:t>No</w:t>
            </w:r>
          </w:p>
        </w:tc>
        <w:tc>
          <w:tcPr>
            <w:tcW w:w="1488" w:type="dxa"/>
            <w:tcBorders>
              <w:top w:val="single" w:sz="4" w:space="0" w:color="000000"/>
              <w:left w:val="single" w:sz="4" w:space="0" w:color="000000"/>
              <w:bottom w:val="single" w:sz="4" w:space="0" w:color="000000"/>
              <w:right w:val="single" w:sz="4" w:space="0" w:color="ffffff"/>
            </w:tcBorders>
          </w:tcPr>
          <w:p>
            <w:pPr>
              <w:pStyle w:val="style0"/>
              <w:autoSpaceDE w:val="false"/>
              <w:spacing w:lineRule="auto" w:line="360"/>
              <w:jc w:val="both"/>
              <w:rPr>
                <w:rFonts w:ascii="Arial" w:cs="Arial" w:hAnsi="Arial"/>
              </w:rPr>
            </w:pPr>
            <w:r>
              <w:rPr>
                <w:rFonts w:ascii="Arial" w:cs="Arial" w:hAnsi="Arial"/>
                <w:b/>
                <w:color w:val="0d0d0d"/>
              </w:rPr>
              <w:t>%</w:t>
            </w:r>
          </w:p>
        </w:tc>
      </w:tr>
      <w:tr>
        <w:tblPrEx/>
        <w:trPr>
          <w:trHeight w:val="499" w:hRule="atLeast"/>
        </w:trPr>
        <w:tc>
          <w:tcPr>
            <w:tcW w:w="2800" w:type="dxa"/>
            <w:tcBorders>
              <w:top w:val="single" w:sz="4" w:space="0" w:color="000000"/>
              <w:left w:val="single" w:sz="4" w:space="0" w:color="ffffff"/>
              <w:bottom w:val="single" w:sz="4" w:space="0" w:color="000000"/>
            </w:tcBorders>
          </w:tcPr>
          <w:p>
            <w:pPr>
              <w:pStyle w:val="style0"/>
              <w:autoSpaceDE w:val="false"/>
              <w:spacing w:lineRule="auto" w:line="360"/>
              <w:jc w:val="both"/>
              <w:rPr>
                <w:rFonts w:ascii="Arial" w:cs="Arial" w:hAnsi="Arial"/>
              </w:rPr>
            </w:pPr>
            <w:r>
              <w:rPr>
                <w:rFonts w:ascii="Arial" w:cs="Arial" w:hAnsi="Arial"/>
                <w:b/>
                <w:color w:val="0d0d0d"/>
              </w:rPr>
              <w:t xml:space="preserve">Alta </w:t>
            </w:r>
          </w:p>
        </w:tc>
        <w:tc>
          <w:tcPr>
            <w:tcW w:w="1700" w:type="dxa"/>
            <w:tcBorders>
              <w:top w:val="single" w:sz="4" w:space="0" w:color="000000"/>
              <w:left w:val="single" w:sz="4" w:space="0" w:color="000000"/>
              <w:bottom w:val="single" w:sz="4" w:space="0" w:color="000000"/>
            </w:tcBorders>
          </w:tcPr>
          <w:p>
            <w:pPr>
              <w:pStyle w:val="style0"/>
              <w:autoSpaceDE w:val="false"/>
              <w:spacing w:lineRule="auto" w:line="360"/>
              <w:jc w:val="both"/>
              <w:rPr>
                <w:rFonts w:ascii="Arial" w:cs="Arial" w:hAnsi="Arial"/>
              </w:rPr>
            </w:pPr>
            <w:r>
              <w:rPr>
                <w:rFonts w:ascii="Arial" w:cs="Arial" w:hAnsi="Arial"/>
                <w:b/>
                <w:color w:val="0d0d0d"/>
              </w:rPr>
              <w:t>10</w:t>
            </w:r>
          </w:p>
        </w:tc>
        <w:tc>
          <w:tcPr>
            <w:tcW w:w="1416" w:type="dxa"/>
            <w:tcBorders>
              <w:top w:val="single" w:sz="4" w:space="0" w:color="000000"/>
              <w:left w:val="single" w:sz="4" w:space="0" w:color="000000"/>
              <w:bottom w:val="single" w:sz="4" w:space="0" w:color="000000"/>
            </w:tcBorders>
          </w:tcPr>
          <w:p>
            <w:pPr>
              <w:pStyle w:val="style0"/>
              <w:autoSpaceDE w:val="false"/>
              <w:spacing w:lineRule="auto" w:line="360"/>
              <w:jc w:val="both"/>
              <w:rPr>
                <w:rFonts w:ascii="Arial" w:cs="Arial" w:hAnsi="Arial"/>
              </w:rPr>
            </w:pPr>
            <w:r>
              <w:rPr>
                <w:rFonts w:ascii="Arial" w:cs="Arial" w:hAnsi="Arial"/>
                <w:b/>
                <w:color w:val="0d0d0d"/>
              </w:rPr>
              <w:t>7.14</w:t>
            </w:r>
          </w:p>
        </w:tc>
        <w:tc>
          <w:tcPr>
            <w:tcW w:w="1287" w:type="dxa"/>
            <w:tcBorders>
              <w:top w:val="single" w:sz="4" w:space="0" w:color="000000"/>
              <w:left w:val="single" w:sz="4" w:space="0" w:color="000000"/>
              <w:bottom w:val="single" w:sz="4" w:space="0" w:color="000000"/>
            </w:tcBorders>
          </w:tcPr>
          <w:p>
            <w:pPr>
              <w:pStyle w:val="style0"/>
              <w:autoSpaceDE w:val="false"/>
              <w:spacing w:lineRule="auto" w:line="360"/>
              <w:jc w:val="both"/>
              <w:rPr>
                <w:rFonts w:ascii="Arial" w:cs="Arial" w:hAnsi="Arial"/>
              </w:rPr>
            </w:pPr>
            <w:r>
              <w:rPr>
                <w:rFonts w:ascii="Arial" w:cs="Arial" w:hAnsi="Arial"/>
                <w:b/>
                <w:color w:val="0d0d0d"/>
              </w:rPr>
              <w:t>135</w:t>
            </w:r>
          </w:p>
        </w:tc>
        <w:tc>
          <w:tcPr>
            <w:tcW w:w="1488" w:type="dxa"/>
            <w:tcBorders>
              <w:top w:val="single" w:sz="4" w:space="0" w:color="000000"/>
              <w:left w:val="single" w:sz="4" w:space="0" w:color="000000"/>
              <w:bottom w:val="single" w:sz="4" w:space="0" w:color="000000"/>
              <w:right w:val="single" w:sz="4" w:space="0" w:color="ffffff"/>
            </w:tcBorders>
          </w:tcPr>
          <w:p>
            <w:pPr>
              <w:pStyle w:val="style0"/>
              <w:autoSpaceDE w:val="false"/>
              <w:spacing w:lineRule="auto" w:line="360"/>
              <w:jc w:val="both"/>
              <w:rPr>
                <w:rFonts w:ascii="Arial" w:cs="Arial" w:hAnsi="Arial"/>
              </w:rPr>
            </w:pPr>
            <w:r>
              <w:rPr>
                <w:rFonts w:ascii="Arial" w:cs="Arial" w:hAnsi="Arial"/>
                <w:b/>
                <w:color w:val="0d0d0d"/>
              </w:rPr>
              <w:t>96.42</w:t>
            </w:r>
          </w:p>
        </w:tc>
      </w:tr>
      <w:tr>
        <w:tblPrEx/>
        <w:trPr>
          <w:trHeight w:val="499" w:hRule="atLeast"/>
        </w:trPr>
        <w:tc>
          <w:tcPr>
            <w:tcW w:w="2800" w:type="dxa"/>
            <w:tcBorders>
              <w:top w:val="single" w:sz="4" w:space="0" w:color="000000"/>
              <w:left w:val="single" w:sz="4" w:space="0" w:color="ffffff"/>
              <w:bottom w:val="single" w:sz="4" w:space="0" w:color="000000"/>
            </w:tcBorders>
          </w:tcPr>
          <w:p>
            <w:pPr>
              <w:pStyle w:val="style0"/>
              <w:autoSpaceDE w:val="false"/>
              <w:spacing w:lineRule="auto" w:line="360"/>
              <w:jc w:val="both"/>
              <w:rPr>
                <w:rFonts w:ascii="Arial" w:cs="Arial" w:hAnsi="Arial"/>
              </w:rPr>
            </w:pPr>
            <w:r>
              <w:rPr>
                <w:rFonts w:ascii="Arial" w:cs="Arial" w:hAnsi="Arial"/>
                <w:b/>
                <w:color w:val="0d0d0d"/>
              </w:rPr>
              <w:t>Baja</w:t>
            </w:r>
          </w:p>
        </w:tc>
        <w:tc>
          <w:tcPr>
            <w:tcW w:w="1700" w:type="dxa"/>
            <w:tcBorders>
              <w:top w:val="single" w:sz="4" w:space="0" w:color="000000"/>
              <w:left w:val="single" w:sz="4" w:space="0" w:color="000000"/>
              <w:bottom w:val="single" w:sz="4" w:space="0" w:color="000000"/>
            </w:tcBorders>
          </w:tcPr>
          <w:p>
            <w:pPr>
              <w:pStyle w:val="style0"/>
              <w:autoSpaceDE w:val="false"/>
              <w:spacing w:lineRule="auto" w:line="360"/>
              <w:jc w:val="both"/>
              <w:rPr>
                <w:rFonts w:ascii="Arial" w:cs="Arial" w:hAnsi="Arial"/>
              </w:rPr>
            </w:pPr>
            <w:r>
              <w:rPr>
                <w:rFonts w:ascii="Arial" w:cs="Arial" w:hAnsi="Arial"/>
                <w:b/>
                <w:color w:val="0d0d0d"/>
              </w:rPr>
              <w:t>130</w:t>
            </w:r>
          </w:p>
        </w:tc>
        <w:tc>
          <w:tcPr>
            <w:tcW w:w="1416" w:type="dxa"/>
            <w:tcBorders>
              <w:top w:val="single" w:sz="4" w:space="0" w:color="000000"/>
              <w:left w:val="single" w:sz="4" w:space="0" w:color="000000"/>
              <w:bottom w:val="single" w:sz="4" w:space="0" w:color="000000"/>
            </w:tcBorders>
          </w:tcPr>
          <w:p>
            <w:pPr>
              <w:pStyle w:val="style0"/>
              <w:autoSpaceDE w:val="false"/>
              <w:spacing w:lineRule="auto" w:line="360"/>
              <w:jc w:val="both"/>
              <w:rPr>
                <w:rFonts w:ascii="Arial" w:cs="Arial" w:hAnsi="Arial"/>
              </w:rPr>
            </w:pPr>
            <w:r>
              <w:rPr>
                <w:rFonts w:ascii="Arial" w:cs="Arial" w:hAnsi="Arial"/>
                <w:b/>
                <w:color w:val="0d0d0d"/>
              </w:rPr>
              <w:t>92.86</w:t>
            </w:r>
          </w:p>
        </w:tc>
        <w:tc>
          <w:tcPr>
            <w:tcW w:w="1287" w:type="dxa"/>
            <w:tcBorders>
              <w:top w:val="single" w:sz="4" w:space="0" w:color="000000"/>
              <w:left w:val="single" w:sz="4" w:space="0" w:color="000000"/>
              <w:bottom w:val="single" w:sz="4" w:space="0" w:color="000000"/>
            </w:tcBorders>
          </w:tcPr>
          <w:p>
            <w:pPr>
              <w:pStyle w:val="style0"/>
              <w:autoSpaceDE w:val="false"/>
              <w:spacing w:lineRule="auto" w:line="360"/>
              <w:jc w:val="both"/>
              <w:rPr>
                <w:rFonts w:ascii="Arial" w:cs="Arial" w:hAnsi="Arial"/>
              </w:rPr>
            </w:pPr>
            <w:r>
              <w:rPr>
                <w:rFonts w:ascii="Arial" w:cs="Arial" w:hAnsi="Arial"/>
                <w:b/>
                <w:color w:val="0d0d0d"/>
              </w:rPr>
              <w:t>5</w:t>
            </w:r>
          </w:p>
        </w:tc>
        <w:tc>
          <w:tcPr>
            <w:tcW w:w="1488" w:type="dxa"/>
            <w:tcBorders>
              <w:top w:val="single" w:sz="4" w:space="0" w:color="000000"/>
              <w:left w:val="single" w:sz="4" w:space="0" w:color="000000"/>
              <w:bottom w:val="single" w:sz="4" w:space="0" w:color="000000"/>
              <w:right w:val="single" w:sz="4" w:space="0" w:color="ffffff"/>
            </w:tcBorders>
          </w:tcPr>
          <w:p>
            <w:pPr>
              <w:pStyle w:val="style0"/>
              <w:autoSpaceDE w:val="false"/>
              <w:spacing w:lineRule="auto" w:line="360"/>
              <w:jc w:val="both"/>
              <w:rPr>
                <w:rFonts w:ascii="Arial" w:cs="Arial" w:hAnsi="Arial"/>
              </w:rPr>
            </w:pPr>
            <w:r>
              <w:rPr>
                <w:rFonts w:ascii="Arial" w:cs="Arial" w:hAnsi="Arial"/>
                <w:b/>
                <w:color w:val="0d0d0d"/>
              </w:rPr>
              <w:t>3.58</w:t>
            </w:r>
          </w:p>
        </w:tc>
      </w:tr>
      <w:tr>
        <w:tblPrEx/>
        <w:trPr>
          <w:trHeight w:val="419" w:hRule="atLeast"/>
        </w:trPr>
        <w:tc>
          <w:tcPr>
            <w:tcW w:w="2800" w:type="dxa"/>
            <w:tcBorders>
              <w:top w:val="single" w:sz="4" w:space="0" w:color="000000"/>
              <w:left w:val="single" w:sz="4" w:space="0" w:color="ffffff"/>
              <w:bottom w:val="single" w:sz="4" w:space="0" w:color="000000"/>
            </w:tcBorders>
          </w:tcPr>
          <w:p>
            <w:pPr>
              <w:pStyle w:val="style0"/>
              <w:autoSpaceDE w:val="false"/>
              <w:spacing w:lineRule="auto" w:line="360"/>
              <w:jc w:val="both"/>
              <w:rPr>
                <w:rFonts w:ascii="Arial" w:cs="Arial" w:hAnsi="Arial"/>
              </w:rPr>
            </w:pPr>
            <w:r>
              <w:rPr>
                <w:rFonts w:ascii="Arial" w:cs="Arial" w:hAnsi="Arial"/>
                <w:b/>
                <w:color w:val="0d0d0d"/>
              </w:rPr>
              <w:t>Total</w:t>
            </w:r>
          </w:p>
        </w:tc>
        <w:tc>
          <w:tcPr>
            <w:tcW w:w="1700" w:type="dxa"/>
            <w:tcBorders>
              <w:top w:val="single" w:sz="4" w:space="0" w:color="000000"/>
              <w:left w:val="single" w:sz="4" w:space="0" w:color="000000"/>
              <w:bottom w:val="single" w:sz="4" w:space="0" w:color="000000"/>
            </w:tcBorders>
          </w:tcPr>
          <w:p>
            <w:pPr>
              <w:pStyle w:val="style0"/>
              <w:autoSpaceDE w:val="false"/>
              <w:spacing w:lineRule="auto" w:line="360"/>
              <w:jc w:val="both"/>
              <w:rPr>
                <w:rFonts w:ascii="Arial" w:cs="Arial" w:hAnsi="Arial"/>
              </w:rPr>
            </w:pPr>
            <w:r>
              <w:rPr>
                <w:rFonts w:ascii="Arial" w:cs="Arial" w:hAnsi="Arial"/>
                <w:b/>
                <w:color w:val="0d0d0d"/>
              </w:rPr>
              <w:t>140</w:t>
            </w:r>
          </w:p>
        </w:tc>
        <w:tc>
          <w:tcPr>
            <w:tcW w:w="1416" w:type="dxa"/>
            <w:tcBorders>
              <w:top w:val="single" w:sz="4" w:space="0" w:color="000000"/>
              <w:left w:val="single" w:sz="4" w:space="0" w:color="000000"/>
              <w:bottom w:val="single" w:sz="4" w:space="0" w:color="000000"/>
            </w:tcBorders>
          </w:tcPr>
          <w:p>
            <w:pPr>
              <w:pStyle w:val="style0"/>
              <w:autoSpaceDE w:val="false"/>
              <w:spacing w:lineRule="auto" w:line="360"/>
              <w:jc w:val="both"/>
              <w:rPr>
                <w:rFonts w:ascii="Arial" w:cs="Arial" w:hAnsi="Arial"/>
              </w:rPr>
            </w:pPr>
            <w:r>
              <w:rPr>
                <w:rFonts w:ascii="Arial" w:cs="Arial" w:hAnsi="Arial"/>
                <w:b/>
                <w:color w:val="0d0d0d"/>
              </w:rPr>
              <w:t>100</w:t>
            </w:r>
          </w:p>
        </w:tc>
        <w:tc>
          <w:tcPr>
            <w:tcW w:w="1287" w:type="dxa"/>
            <w:tcBorders>
              <w:top w:val="single" w:sz="4" w:space="0" w:color="000000"/>
              <w:left w:val="single" w:sz="4" w:space="0" w:color="000000"/>
              <w:bottom w:val="single" w:sz="4" w:space="0" w:color="000000"/>
            </w:tcBorders>
          </w:tcPr>
          <w:p>
            <w:pPr>
              <w:pStyle w:val="style0"/>
              <w:autoSpaceDE w:val="false"/>
              <w:spacing w:lineRule="auto" w:line="360"/>
              <w:jc w:val="both"/>
              <w:rPr>
                <w:rFonts w:ascii="Arial" w:cs="Arial" w:hAnsi="Arial"/>
              </w:rPr>
            </w:pPr>
            <w:r>
              <w:rPr>
                <w:rFonts w:ascii="Arial" w:cs="Arial" w:hAnsi="Arial"/>
                <w:b/>
                <w:color w:val="0d0d0d"/>
              </w:rPr>
              <w:t>140</w:t>
            </w:r>
          </w:p>
        </w:tc>
        <w:tc>
          <w:tcPr>
            <w:tcW w:w="1488" w:type="dxa"/>
            <w:tcBorders>
              <w:top w:val="single" w:sz="4" w:space="0" w:color="000000"/>
              <w:left w:val="single" w:sz="4" w:space="0" w:color="000000"/>
              <w:bottom w:val="single" w:sz="4" w:space="0" w:color="000000"/>
              <w:right w:val="single" w:sz="4" w:space="0" w:color="ffffff"/>
            </w:tcBorders>
          </w:tcPr>
          <w:p>
            <w:pPr>
              <w:pStyle w:val="style0"/>
              <w:autoSpaceDE w:val="false"/>
              <w:spacing w:lineRule="auto" w:line="360"/>
              <w:jc w:val="both"/>
              <w:rPr>
                <w:rFonts w:ascii="Arial" w:cs="Arial" w:hAnsi="Arial"/>
              </w:rPr>
            </w:pPr>
            <w:r>
              <w:rPr>
                <w:rFonts w:ascii="Arial" w:cs="Arial" w:hAnsi="Arial"/>
                <w:b/>
                <w:color w:val="0d0d0d"/>
              </w:rPr>
              <w:t>100</w:t>
            </w:r>
          </w:p>
        </w:tc>
      </w:tr>
    </w:tbl>
    <w:p>
      <w:pPr>
        <w:pStyle w:val="style0"/>
        <w:spacing w:lineRule="auto" w:line="360"/>
        <w:jc w:val="both"/>
        <w:rPr>
          <w:rFonts w:ascii="Arial" w:cs="Arial" w:hAnsi="Arial"/>
        </w:rPr>
      </w:pPr>
    </w:p>
    <w:p>
      <w:pPr>
        <w:pStyle w:val="style0"/>
        <w:spacing w:lineRule="auto" w:line="360"/>
        <w:jc w:val="both"/>
        <w:rPr>
          <w:rFonts w:ascii="Arial" w:cs="Arial" w:hAnsi="Arial"/>
        </w:rPr>
      </w:pPr>
      <w:r>
        <w:rPr>
          <w:rFonts w:ascii="Arial" w:cs="Arial" w:hAnsi="Arial"/>
        </w:rPr>
        <w:t>Fuente: Datos primarios del autor</w:t>
      </w:r>
    </w:p>
    <w:p>
      <w:pPr>
        <w:pStyle w:val="style0"/>
        <w:spacing w:lineRule="auto" w:line="360"/>
        <w:jc w:val="both"/>
        <w:rPr>
          <w:rFonts w:ascii="Arial" w:cs="Arial" w:hAnsi="Arial"/>
        </w:rPr>
      </w:pPr>
    </w:p>
    <w:p>
      <w:pPr>
        <w:pStyle w:val="style0"/>
        <w:spacing w:lineRule="auto" w:line="360"/>
        <w:ind w:right="-213"/>
        <w:jc w:val="both"/>
        <w:rPr>
          <w:rFonts w:ascii="Arial" w:cs="Arial" w:hAnsi="Arial"/>
        </w:rPr>
      </w:pPr>
      <w:r>
        <w:rPr>
          <w:rFonts w:ascii="Arial" w:cs="Arial" w:hAnsi="Arial"/>
        </w:rPr>
        <w:t xml:space="preserve">La Tabla 5 representa la distribución de los pacientes del Consultorio 13 del Policlínico Mario Gutiérrez del municipio Holguín durante el año 2017 según  la </w:t>
      </w:r>
      <w:r>
        <w:rPr>
          <w:rFonts w:ascii="Arial" w:cs="Arial" w:hAnsi="Arial"/>
          <w:lang w:eastAsia="es-US"/>
        </w:rPr>
        <w:t xml:space="preserve">percepción del riesgo </w:t>
      </w:r>
      <w:r>
        <w:rPr>
          <w:rFonts w:ascii="Arial" w:cs="Arial" w:hAnsi="Arial"/>
        </w:rPr>
        <w:t>antes y después de la intervención, evidenciándose que antes de la intervención solo 10 pacientes que representa el 7.14% del total, tenían conciencia del riesgo para la salud, en especial para contraer enfermedades cardiovasculares como la cardiopatía isquémica, que significaban estos factores de riesgo y luego de aplicada la estrategia educativa 135 pacientes para un 96.42% se concientizaron sobre el peligro de los mismos.</w:t>
      </w:r>
    </w:p>
    <w:p>
      <w:pPr>
        <w:pStyle w:val="style0"/>
        <w:spacing w:lineRule="auto" w:line="360"/>
        <w:ind w:right="-213"/>
        <w:jc w:val="both"/>
        <w:rPr>
          <w:rFonts w:ascii="Arial" w:cs="Arial" w:hAnsi="Arial"/>
          <w:b/>
        </w:rPr>
      </w:pPr>
      <w:r>
        <w:rPr>
          <w:rFonts w:ascii="Arial" w:cs="Arial" w:hAnsi="Arial"/>
          <w:b/>
          <w:bCs/>
          <w:u w:val="single"/>
        </w:rPr>
        <w:t>Tabla6:</w:t>
      </w:r>
      <w:r>
        <w:rPr>
          <w:rFonts w:ascii="Arial" w:cs="Arial" w:hAnsi="Arial"/>
          <w:b/>
          <w:bCs/>
        </w:rPr>
        <w:t xml:space="preserve"> Distribución de pacientes según </w:t>
      </w:r>
      <w:r>
        <w:rPr>
          <w:rFonts w:ascii="Arial" w:cs="Arial" w:hAnsi="Arial"/>
          <w:b/>
          <w:lang w:eastAsia="es-US"/>
        </w:rPr>
        <w:t xml:space="preserve">disposición para modificar sus estilos de vida inadecuados </w:t>
      </w:r>
      <w:r>
        <w:rPr>
          <w:rFonts w:ascii="Arial" w:cs="Arial" w:hAnsi="Arial"/>
          <w:b/>
        </w:rPr>
        <w:t>antes y después de la intervención.</w:t>
      </w:r>
      <w:r>
        <w:rPr>
          <w:rFonts w:ascii="Arial" w:cs="Arial" w:hAnsi="Arial"/>
          <w:b/>
          <w:bCs/>
        </w:rPr>
        <w:t xml:space="preserve"> Consultorio 13. Policlínico </w:t>
      </w:r>
      <w:r>
        <w:rPr>
          <w:rFonts w:ascii="Arial" w:cs="Arial" w:hAnsi="Arial"/>
          <w:b/>
          <w:bCs/>
          <w:color w:val="000000"/>
        </w:rPr>
        <w:t>Mario Gutiérrez</w:t>
      </w:r>
      <w:r>
        <w:rPr>
          <w:rFonts w:ascii="Arial" w:cs="Arial" w:hAnsi="Arial"/>
          <w:b/>
          <w:bCs/>
        </w:rPr>
        <w:t>. Holguín. 2023</w:t>
      </w:r>
    </w:p>
    <w:p>
      <w:pPr>
        <w:pStyle w:val="style0"/>
        <w:spacing w:lineRule="auto" w:line="360"/>
        <w:ind w:left="1134" w:right="991"/>
        <w:jc w:val="both"/>
        <w:rPr>
          <w:rFonts w:ascii="Arial" w:cs="Arial" w:hAnsi="Arial"/>
          <w:b/>
        </w:rPr>
      </w:pPr>
    </w:p>
    <w:tbl>
      <w:tblPr>
        <w:tblW w:w="0" w:type="auto"/>
        <w:tblInd w:w="59" w:type="dxa"/>
        <w:tblLayout w:type="fixed"/>
        <w:tblCellMar>
          <w:left w:w="59" w:type="dxa"/>
          <w:right w:w="59" w:type="dxa"/>
        </w:tblCellMar>
        <w:tblLook w:val="0000" w:firstRow="0" w:lastRow="0" w:firstColumn="0" w:lastColumn="0" w:noHBand="0" w:noVBand="0"/>
      </w:tblPr>
      <w:tblGrid>
        <w:gridCol w:w="3480"/>
        <w:gridCol w:w="1200"/>
        <w:gridCol w:w="1320"/>
        <w:gridCol w:w="1203"/>
        <w:gridCol w:w="1488"/>
      </w:tblGrid>
      <w:tr>
        <w:trPr>
          <w:cantSplit/>
          <w:trHeight w:val="419" w:hRule="atLeast"/>
        </w:trPr>
        <w:tc>
          <w:tcPr>
            <w:tcW w:w="3480" w:type="dxa"/>
            <w:vMerge w:val="restart"/>
            <w:tcBorders>
              <w:top w:val="single" w:sz="4" w:space="0" w:color="000000"/>
              <w:left w:val="single" w:sz="4" w:space="0" w:color="ffffff"/>
              <w:bottom w:val="single" w:sz="4" w:space="0" w:color="000000"/>
            </w:tcBorders>
            <w:vAlign w:val="center"/>
          </w:tcPr>
          <w:p>
            <w:pPr>
              <w:pStyle w:val="style0"/>
              <w:spacing w:lineRule="auto" w:line="360"/>
              <w:ind w:right="-213"/>
              <w:jc w:val="both"/>
              <w:rPr>
                <w:rFonts w:ascii="Arial" w:cs="Arial" w:eastAsia="Arial" w:hAnsi="Arial"/>
                <w:b/>
                <w:lang w:eastAsia="es-US"/>
              </w:rPr>
            </w:pPr>
            <w:r>
              <w:rPr>
                <w:rFonts w:ascii="Arial" w:cs="Arial" w:hAnsi="Arial"/>
                <w:b/>
                <w:lang w:eastAsia="es-US"/>
              </w:rPr>
              <w:t>Disposición de los pacientes</w:t>
            </w:r>
          </w:p>
          <w:p>
            <w:pPr>
              <w:pStyle w:val="style0"/>
              <w:spacing w:lineRule="auto" w:line="360"/>
              <w:ind w:right="-213"/>
              <w:jc w:val="both"/>
              <w:rPr>
                <w:rFonts w:ascii="Arial" w:cs="Arial" w:hAnsi="Arial"/>
                <w:b/>
                <w:lang w:eastAsia="es-US"/>
              </w:rPr>
            </w:pPr>
            <w:r>
              <w:rPr>
                <w:rFonts w:ascii="Arial" w:cs="Arial" w:eastAsia="Arial" w:hAnsi="Arial"/>
                <w:b/>
                <w:lang w:eastAsia="es-US"/>
              </w:rPr>
              <w:t xml:space="preserve"> </w:t>
            </w:r>
            <w:r>
              <w:rPr>
                <w:rFonts w:ascii="Arial" w:cs="Arial" w:hAnsi="Arial"/>
                <w:b/>
                <w:lang w:eastAsia="es-US"/>
              </w:rPr>
              <w:t xml:space="preserve">para modificar sus estilos </w:t>
            </w:r>
          </w:p>
          <w:p>
            <w:pPr>
              <w:pStyle w:val="style0"/>
              <w:spacing w:lineRule="auto" w:line="360"/>
              <w:ind w:right="-213"/>
              <w:jc w:val="both"/>
              <w:rPr>
                <w:rFonts w:ascii="Arial" w:cs="Arial" w:hAnsi="Arial"/>
              </w:rPr>
            </w:pPr>
            <w:r>
              <w:rPr>
                <w:rFonts w:ascii="Arial" w:cs="Arial" w:hAnsi="Arial"/>
                <w:b/>
                <w:lang w:eastAsia="es-US"/>
              </w:rPr>
              <w:t xml:space="preserve">de vida inadecuados </w:t>
            </w:r>
          </w:p>
          <w:p>
            <w:pPr>
              <w:pStyle w:val="style0"/>
              <w:spacing w:lineRule="auto" w:line="360"/>
              <w:ind w:right="-213"/>
              <w:jc w:val="both"/>
              <w:rPr>
                <w:rFonts w:ascii="Arial" w:cs="Arial" w:hAnsi="Arial"/>
              </w:rPr>
            </w:pPr>
          </w:p>
        </w:tc>
        <w:tc>
          <w:tcPr>
            <w:tcW w:w="2520" w:type="dxa"/>
            <w:gridSpan w:val="2"/>
            <w:tcBorders>
              <w:top w:val="single" w:sz="4" w:space="0" w:color="000000"/>
              <w:left w:val="single" w:sz="4" w:space="0" w:color="000000"/>
              <w:bottom w:val="single" w:sz="4" w:space="0" w:color="000000"/>
            </w:tcBorders>
          </w:tcPr>
          <w:p>
            <w:pPr>
              <w:pStyle w:val="style0"/>
              <w:autoSpaceDE w:val="false"/>
              <w:spacing w:lineRule="auto" w:line="360"/>
              <w:jc w:val="both"/>
              <w:rPr>
                <w:rFonts w:ascii="Arial" w:cs="Arial" w:hAnsi="Arial"/>
              </w:rPr>
            </w:pPr>
            <w:r>
              <w:rPr>
                <w:rFonts w:ascii="Arial" w:cs="Arial" w:hAnsi="Arial"/>
                <w:b/>
                <w:color w:val="0d0d0d"/>
              </w:rPr>
              <w:t>Antes</w:t>
            </w:r>
          </w:p>
        </w:tc>
        <w:tc>
          <w:tcPr>
            <w:tcW w:w="2691" w:type="dxa"/>
            <w:gridSpan w:val="2"/>
            <w:tcBorders>
              <w:top w:val="single" w:sz="4" w:space="0" w:color="000000"/>
              <w:left w:val="single" w:sz="4" w:space="0" w:color="000000"/>
              <w:bottom w:val="single" w:sz="4" w:space="0" w:color="000000"/>
              <w:right w:val="single" w:sz="4" w:space="0" w:color="ffffff"/>
            </w:tcBorders>
          </w:tcPr>
          <w:p>
            <w:pPr>
              <w:pStyle w:val="style0"/>
              <w:autoSpaceDE w:val="false"/>
              <w:spacing w:lineRule="auto" w:line="360"/>
              <w:jc w:val="both"/>
              <w:rPr>
                <w:rFonts w:ascii="Arial" w:cs="Arial" w:hAnsi="Arial"/>
              </w:rPr>
            </w:pPr>
            <w:r>
              <w:rPr>
                <w:rFonts w:ascii="Arial" w:cs="Arial" w:hAnsi="Arial"/>
                <w:b/>
                <w:color w:val="0d0d0d"/>
              </w:rPr>
              <w:t>Después</w:t>
            </w:r>
          </w:p>
        </w:tc>
      </w:tr>
      <w:tr>
        <w:tblPrEx/>
        <w:trPr>
          <w:cantSplit/>
          <w:trHeight w:val="419" w:hRule="atLeast"/>
        </w:trPr>
        <w:tc>
          <w:tcPr>
            <w:tcW w:w="3480" w:type="dxa"/>
            <w:vMerge w:val="continue"/>
            <w:tcBorders>
              <w:top w:val="single" w:sz="4" w:space="0" w:color="000000"/>
              <w:left w:val="single" w:sz="4" w:space="0" w:color="ffffff"/>
              <w:bottom w:val="single" w:sz="4" w:space="0" w:color="000000"/>
            </w:tcBorders>
          </w:tcPr>
          <w:p>
            <w:pPr>
              <w:pStyle w:val="style0"/>
              <w:autoSpaceDE w:val="false"/>
              <w:snapToGrid w:val="false"/>
              <w:spacing w:after="200" w:lineRule="auto" w:line="360"/>
              <w:jc w:val="both"/>
              <w:rPr>
                <w:rFonts w:ascii="Arial" w:cs="Arial" w:hAnsi="Arial"/>
              </w:rPr>
            </w:pPr>
          </w:p>
        </w:tc>
        <w:tc>
          <w:tcPr>
            <w:tcW w:w="1200" w:type="dxa"/>
            <w:tcBorders>
              <w:top w:val="single" w:sz="4" w:space="0" w:color="000000"/>
              <w:left w:val="single" w:sz="4" w:space="0" w:color="000000"/>
              <w:bottom w:val="single" w:sz="4" w:space="0" w:color="000000"/>
            </w:tcBorders>
          </w:tcPr>
          <w:p>
            <w:pPr>
              <w:pStyle w:val="style0"/>
              <w:autoSpaceDE w:val="false"/>
              <w:spacing w:lineRule="auto" w:line="360"/>
              <w:jc w:val="both"/>
              <w:rPr>
                <w:rFonts w:ascii="Arial" w:cs="Arial" w:hAnsi="Arial"/>
              </w:rPr>
            </w:pPr>
            <w:r>
              <w:rPr>
                <w:rFonts w:ascii="Arial" w:cs="Arial" w:hAnsi="Arial"/>
                <w:b/>
                <w:color w:val="0d0d0d"/>
              </w:rPr>
              <w:t>No</w:t>
            </w:r>
          </w:p>
        </w:tc>
        <w:tc>
          <w:tcPr>
            <w:tcW w:w="1320" w:type="dxa"/>
            <w:tcBorders>
              <w:top w:val="single" w:sz="4" w:space="0" w:color="000000"/>
              <w:left w:val="single" w:sz="4" w:space="0" w:color="000000"/>
              <w:bottom w:val="single" w:sz="4" w:space="0" w:color="000000"/>
            </w:tcBorders>
          </w:tcPr>
          <w:p>
            <w:pPr>
              <w:pStyle w:val="style0"/>
              <w:autoSpaceDE w:val="false"/>
              <w:spacing w:lineRule="auto" w:line="360"/>
              <w:jc w:val="both"/>
              <w:rPr>
                <w:rFonts w:ascii="Arial" w:cs="Arial" w:hAnsi="Arial"/>
              </w:rPr>
            </w:pPr>
            <w:r>
              <w:rPr>
                <w:rFonts w:ascii="Arial" w:cs="Arial" w:hAnsi="Arial"/>
                <w:b/>
                <w:color w:val="0d0d0d"/>
              </w:rPr>
              <w:t>%</w:t>
            </w:r>
          </w:p>
        </w:tc>
        <w:tc>
          <w:tcPr>
            <w:tcW w:w="1203" w:type="dxa"/>
            <w:tcBorders>
              <w:top w:val="single" w:sz="4" w:space="0" w:color="000000"/>
              <w:left w:val="single" w:sz="4" w:space="0" w:color="000000"/>
              <w:bottom w:val="single" w:sz="4" w:space="0" w:color="000000"/>
            </w:tcBorders>
          </w:tcPr>
          <w:p>
            <w:pPr>
              <w:pStyle w:val="style0"/>
              <w:autoSpaceDE w:val="false"/>
              <w:spacing w:lineRule="auto" w:line="360"/>
              <w:jc w:val="both"/>
              <w:rPr>
                <w:rFonts w:ascii="Arial" w:cs="Arial" w:hAnsi="Arial"/>
              </w:rPr>
            </w:pPr>
            <w:r>
              <w:rPr>
                <w:rFonts w:ascii="Arial" w:cs="Arial" w:hAnsi="Arial"/>
                <w:b/>
                <w:color w:val="0d0d0d"/>
              </w:rPr>
              <w:t>No</w:t>
            </w:r>
          </w:p>
        </w:tc>
        <w:tc>
          <w:tcPr>
            <w:tcW w:w="1488" w:type="dxa"/>
            <w:tcBorders>
              <w:top w:val="single" w:sz="4" w:space="0" w:color="000000"/>
              <w:left w:val="single" w:sz="4" w:space="0" w:color="000000"/>
              <w:bottom w:val="single" w:sz="4" w:space="0" w:color="000000"/>
              <w:right w:val="single" w:sz="4" w:space="0" w:color="ffffff"/>
            </w:tcBorders>
          </w:tcPr>
          <w:p>
            <w:pPr>
              <w:pStyle w:val="style0"/>
              <w:autoSpaceDE w:val="false"/>
              <w:spacing w:lineRule="auto" w:line="360"/>
              <w:jc w:val="both"/>
              <w:rPr>
                <w:rFonts w:ascii="Arial" w:cs="Arial" w:hAnsi="Arial"/>
              </w:rPr>
            </w:pPr>
            <w:r>
              <w:rPr>
                <w:rFonts w:ascii="Arial" w:cs="Arial" w:hAnsi="Arial"/>
                <w:b/>
                <w:color w:val="0d0d0d"/>
              </w:rPr>
              <w:t>%</w:t>
            </w:r>
          </w:p>
        </w:tc>
      </w:tr>
      <w:tr>
        <w:tblPrEx/>
        <w:trPr>
          <w:trHeight w:val="499" w:hRule="atLeast"/>
        </w:trPr>
        <w:tc>
          <w:tcPr>
            <w:tcW w:w="3480" w:type="dxa"/>
            <w:tcBorders>
              <w:top w:val="single" w:sz="4" w:space="0" w:color="000000"/>
              <w:left w:val="single" w:sz="4" w:space="0" w:color="ffffff"/>
              <w:bottom w:val="single" w:sz="4" w:space="0" w:color="000000"/>
            </w:tcBorders>
          </w:tcPr>
          <w:p>
            <w:pPr>
              <w:pStyle w:val="style0"/>
              <w:autoSpaceDE w:val="false"/>
              <w:spacing w:lineRule="auto" w:line="360"/>
              <w:jc w:val="both"/>
              <w:rPr>
                <w:rFonts w:ascii="Arial" w:cs="Arial" w:hAnsi="Arial"/>
              </w:rPr>
            </w:pPr>
            <w:r>
              <w:rPr>
                <w:rFonts w:ascii="Arial" w:cs="Arial" w:hAnsi="Arial"/>
                <w:b/>
                <w:color w:val="0d0d0d"/>
              </w:rPr>
              <w:t>Si</w:t>
            </w:r>
          </w:p>
        </w:tc>
        <w:tc>
          <w:tcPr>
            <w:tcW w:w="1200" w:type="dxa"/>
            <w:tcBorders>
              <w:top w:val="single" w:sz="4" w:space="0" w:color="000000"/>
              <w:left w:val="single" w:sz="4" w:space="0" w:color="000000"/>
              <w:bottom w:val="single" w:sz="4" w:space="0" w:color="000000"/>
            </w:tcBorders>
          </w:tcPr>
          <w:p>
            <w:pPr>
              <w:pStyle w:val="style0"/>
              <w:autoSpaceDE w:val="false"/>
              <w:spacing w:lineRule="auto" w:line="360"/>
              <w:jc w:val="both"/>
              <w:rPr>
                <w:rFonts w:ascii="Arial" w:cs="Arial" w:hAnsi="Arial"/>
              </w:rPr>
            </w:pPr>
            <w:r>
              <w:rPr>
                <w:rFonts w:ascii="Arial" w:cs="Arial" w:hAnsi="Arial"/>
                <w:b/>
                <w:color w:val="0d0d0d"/>
              </w:rPr>
              <w:t>17</w:t>
            </w:r>
          </w:p>
        </w:tc>
        <w:tc>
          <w:tcPr>
            <w:tcW w:w="1320" w:type="dxa"/>
            <w:tcBorders>
              <w:top w:val="single" w:sz="4" w:space="0" w:color="000000"/>
              <w:left w:val="single" w:sz="4" w:space="0" w:color="000000"/>
              <w:bottom w:val="single" w:sz="4" w:space="0" w:color="000000"/>
            </w:tcBorders>
          </w:tcPr>
          <w:p>
            <w:pPr>
              <w:pStyle w:val="style0"/>
              <w:autoSpaceDE w:val="false"/>
              <w:spacing w:lineRule="auto" w:line="360"/>
              <w:jc w:val="both"/>
              <w:rPr>
                <w:rFonts w:ascii="Arial" w:cs="Arial" w:hAnsi="Arial"/>
              </w:rPr>
            </w:pPr>
            <w:r>
              <w:rPr>
                <w:rFonts w:ascii="Arial" w:cs="Arial" w:hAnsi="Arial"/>
                <w:b/>
                <w:color w:val="0d0d0d"/>
              </w:rPr>
              <w:t>12.14</w:t>
            </w:r>
          </w:p>
        </w:tc>
        <w:tc>
          <w:tcPr>
            <w:tcW w:w="1203" w:type="dxa"/>
            <w:tcBorders>
              <w:top w:val="single" w:sz="4" w:space="0" w:color="000000"/>
              <w:left w:val="single" w:sz="4" w:space="0" w:color="000000"/>
              <w:bottom w:val="single" w:sz="4" w:space="0" w:color="000000"/>
            </w:tcBorders>
          </w:tcPr>
          <w:p>
            <w:pPr>
              <w:pStyle w:val="style0"/>
              <w:autoSpaceDE w:val="false"/>
              <w:spacing w:lineRule="auto" w:line="360"/>
              <w:jc w:val="both"/>
              <w:rPr>
                <w:rFonts w:ascii="Arial" w:cs="Arial" w:hAnsi="Arial"/>
              </w:rPr>
            </w:pPr>
            <w:r>
              <w:rPr>
                <w:rFonts w:ascii="Arial" w:cs="Arial" w:hAnsi="Arial"/>
                <w:b/>
                <w:color w:val="0d0d0d"/>
              </w:rPr>
              <w:t>135</w:t>
            </w:r>
          </w:p>
        </w:tc>
        <w:tc>
          <w:tcPr>
            <w:tcW w:w="1488" w:type="dxa"/>
            <w:tcBorders>
              <w:top w:val="single" w:sz="4" w:space="0" w:color="000000"/>
              <w:left w:val="single" w:sz="4" w:space="0" w:color="000000"/>
              <w:bottom w:val="single" w:sz="4" w:space="0" w:color="000000"/>
              <w:right w:val="single" w:sz="4" w:space="0" w:color="ffffff"/>
            </w:tcBorders>
          </w:tcPr>
          <w:p>
            <w:pPr>
              <w:pStyle w:val="style0"/>
              <w:autoSpaceDE w:val="false"/>
              <w:spacing w:lineRule="auto" w:line="360"/>
              <w:jc w:val="both"/>
              <w:rPr>
                <w:rFonts w:ascii="Arial" w:cs="Arial" w:hAnsi="Arial"/>
              </w:rPr>
            </w:pPr>
            <w:r>
              <w:rPr>
                <w:rFonts w:ascii="Arial" w:cs="Arial" w:hAnsi="Arial"/>
                <w:b/>
                <w:color w:val="0d0d0d"/>
              </w:rPr>
              <w:t>96.42</w:t>
            </w:r>
          </w:p>
        </w:tc>
      </w:tr>
      <w:tr>
        <w:tblPrEx/>
        <w:trPr>
          <w:trHeight w:val="499" w:hRule="atLeast"/>
        </w:trPr>
        <w:tc>
          <w:tcPr>
            <w:tcW w:w="3480" w:type="dxa"/>
            <w:tcBorders>
              <w:top w:val="single" w:sz="4" w:space="0" w:color="000000"/>
              <w:left w:val="single" w:sz="4" w:space="0" w:color="ffffff"/>
              <w:bottom w:val="single" w:sz="4" w:space="0" w:color="000000"/>
            </w:tcBorders>
          </w:tcPr>
          <w:p>
            <w:pPr>
              <w:pStyle w:val="style0"/>
              <w:autoSpaceDE w:val="false"/>
              <w:spacing w:lineRule="auto" w:line="360"/>
              <w:jc w:val="both"/>
              <w:rPr>
                <w:rFonts w:ascii="Arial" w:cs="Arial" w:hAnsi="Arial"/>
              </w:rPr>
            </w:pPr>
            <w:r>
              <w:rPr>
                <w:rFonts w:ascii="Arial" w:cs="Arial" w:hAnsi="Arial"/>
                <w:b/>
                <w:color w:val="0d0d0d"/>
              </w:rPr>
              <w:t>No</w:t>
            </w:r>
          </w:p>
        </w:tc>
        <w:tc>
          <w:tcPr>
            <w:tcW w:w="1200" w:type="dxa"/>
            <w:tcBorders>
              <w:top w:val="single" w:sz="4" w:space="0" w:color="000000"/>
              <w:left w:val="single" w:sz="4" w:space="0" w:color="000000"/>
              <w:bottom w:val="single" w:sz="4" w:space="0" w:color="000000"/>
            </w:tcBorders>
          </w:tcPr>
          <w:p>
            <w:pPr>
              <w:pStyle w:val="style0"/>
              <w:autoSpaceDE w:val="false"/>
              <w:spacing w:lineRule="auto" w:line="360"/>
              <w:jc w:val="both"/>
              <w:rPr>
                <w:rFonts w:ascii="Arial" w:cs="Arial" w:hAnsi="Arial"/>
              </w:rPr>
            </w:pPr>
            <w:r>
              <w:rPr>
                <w:rFonts w:ascii="Arial" w:cs="Arial" w:hAnsi="Arial"/>
                <w:b/>
                <w:color w:val="0d0d0d"/>
              </w:rPr>
              <w:t>123</w:t>
            </w:r>
          </w:p>
        </w:tc>
        <w:tc>
          <w:tcPr>
            <w:tcW w:w="1320" w:type="dxa"/>
            <w:tcBorders>
              <w:top w:val="single" w:sz="4" w:space="0" w:color="000000"/>
              <w:left w:val="single" w:sz="4" w:space="0" w:color="000000"/>
              <w:bottom w:val="single" w:sz="4" w:space="0" w:color="000000"/>
            </w:tcBorders>
          </w:tcPr>
          <w:p>
            <w:pPr>
              <w:pStyle w:val="style0"/>
              <w:autoSpaceDE w:val="false"/>
              <w:spacing w:lineRule="auto" w:line="360"/>
              <w:jc w:val="both"/>
              <w:rPr>
                <w:rFonts w:ascii="Arial" w:cs="Arial" w:hAnsi="Arial"/>
              </w:rPr>
            </w:pPr>
            <w:r>
              <w:rPr>
                <w:rFonts w:ascii="Arial" w:cs="Arial" w:hAnsi="Arial"/>
                <w:b/>
                <w:color w:val="0d0d0d"/>
              </w:rPr>
              <w:t>87.86</w:t>
            </w:r>
          </w:p>
        </w:tc>
        <w:tc>
          <w:tcPr>
            <w:tcW w:w="1203" w:type="dxa"/>
            <w:tcBorders>
              <w:top w:val="single" w:sz="4" w:space="0" w:color="000000"/>
              <w:left w:val="single" w:sz="4" w:space="0" w:color="000000"/>
              <w:bottom w:val="single" w:sz="4" w:space="0" w:color="000000"/>
            </w:tcBorders>
          </w:tcPr>
          <w:p>
            <w:pPr>
              <w:pStyle w:val="style0"/>
              <w:autoSpaceDE w:val="false"/>
              <w:spacing w:lineRule="auto" w:line="360"/>
              <w:jc w:val="both"/>
              <w:rPr>
                <w:rFonts w:ascii="Arial" w:cs="Arial" w:hAnsi="Arial"/>
              </w:rPr>
            </w:pPr>
            <w:r>
              <w:rPr>
                <w:rFonts w:ascii="Arial" w:cs="Arial" w:hAnsi="Arial"/>
                <w:b/>
                <w:color w:val="0d0d0d"/>
              </w:rPr>
              <w:t>5</w:t>
            </w:r>
          </w:p>
        </w:tc>
        <w:tc>
          <w:tcPr>
            <w:tcW w:w="1488" w:type="dxa"/>
            <w:tcBorders>
              <w:top w:val="single" w:sz="4" w:space="0" w:color="000000"/>
              <w:left w:val="single" w:sz="4" w:space="0" w:color="000000"/>
              <w:bottom w:val="single" w:sz="4" w:space="0" w:color="000000"/>
              <w:right w:val="single" w:sz="4" w:space="0" w:color="ffffff"/>
            </w:tcBorders>
          </w:tcPr>
          <w:p>
            <w:pPr>
              <w:pStyle w:val="style0"/>
              <w:autoSpaceDE w:val="false"/>
              <w:spacing w:lineRule="auto" w:line="360"/>
              <w:jc w:val="both"/>
              <w:rPr>
                <w:rFonts w:ascii="Arial" w:cs="Arial" w:hAnsi="Arial"/>
              </w:rPr>
            </w:pPr>
            <w:r>
              <w:rPr>
                <w:rFonts w:ascii="Arial" w:cs="Arial" w:hAnsi="Arial"/>
                <w:b/>
                <w:color w:val="0d0d0d"/>
              </w:rPr>
              <w:t>3.58</w:t>
            </w:r>
          </w:p>
        </w:tc>
      </w:tr>
      <w:tr>
        <w:tblPrEx/>
        <w:trPr>
          <w:trHeight w:val="419" w:hRule="atLeast"/>
        </w:trPr>
        <w:tc>
          <w:tcPr>
            <w:tcW w:w="3480" w:type="dxa"/>
            <w:tcBorders>
              <w:top w:val="single" w:sz="4" w:space="0" w:color="000000"/>
              <w:left w:val="single" w:sz="4" w:space="0" w:color="ffffff"/>
              <w:bottom w:val="single" w:sz="4" w:space="0" w:color="000000"/>
            </w:tcBorders>
          </w:tcPr>
          <w:p>
            <w:pPr>
              <w:pStyle w:val="style0"/>
              <w:autoSpaceDE w:val="false"/>
              <w:spacing w:lineRule="auto" w:line="360"/>
              <w:jc w:val="both"/>
              <w:rPr>
                <w:rFonts w:ascii="Arial" w:cs="Arial" w:hAnsi="Arial"/>
              </w:rPr>
            </w:pPr>
            <w:r>
              <w:rPr>
                <w:rFonts w:ascii="Arial" w:cs="Arial" w:hAnsi="Arial"/>
                <w:b/>
                <w:color w:val="0d0d0d"/>
              </w:rPr>
              <w:t>Total</w:t>
            </w:r>
          </w:p>
        </w:tc>
        <w:tc>
          <w:tcPr>
            <w:tcW w:w="1200" w:type="dxa"/>
            <w:tcBorders>
              <w:top w:val="single" w:sz="4" w:space="0" w:color="000000"/>
              <w:left w:val="single" w:sz="4" w:space="0" w:color="000000"/>
              <w:bottom w:val="single" w:sz="4" w:space="0" w:color="000000"/>
            </w:tcBorders>
          </w:tcPr>
          <w:p>
            <w:pPr>
              <w:pStyle w:val="style0"/>
              <w:autoSpaceDE w:val="false"/>
              <w:spacing w:lineRule="auto" w:line="360"/>
              <w:jc w:val="both"/>
              <w:rPr>
                <w:rFonts w:ascii="Arial" w:cs="Arial" w:hAnsi="Arial"/>
              </w:rPr>
            </w:pPr>
            <w:r>
              <w:rPr>
                <w:rFonts w:ascii="Arial" w:cs="Arial" w:hAnsi="Arial"/>
                <w:b/>
                <w:color w:val="0d0d0d"/>
              </w:rPr>
              <w:t>140</w:t>
            </w:r>
          </w:p>
        </w:tc>
        <w:tc>
          <w:tcPr>
            <w:tcW w:w="1320" w:type="dxa"/>
            <w:tcBorders>
              <w:top w:val="single" w:sz="4" w:space="0" w:color="000000"/>
              <w:left w:val="single" w:sz="4" w:space="0" w:color="000000"/>
              <w:bottom w:val="single" w:sz="4" w:space="0" w:color="000000"/>
            </w:tcBorders>
          </w:tcPr>
          <w:p>
            <w:pPr>
              <w:pStyle w:val="style0"/>
              <w:autoSpaceDE w:val="false"/>
              <w:spacing w:lineRule="auto" w:line="360"/>
              <w:jc w:val="both"/>
              <w:rPr>
                <w:rFonts w:ascii="Arial" w:cs="Arial" w:hAnsi="Arial"/>
              </w:rPr>
            </w:pPr>
            <w:r>
              <w:rPr>
                <w:rFonts w:ascii="Arial" w:cs="Arial" w:hAnsi="Arial"/>
                <w:b/>
                <w:color w:val="0d0d0d"/>
              </w:rPr>
              <w:t>100</w:t>
            </w:r>
          </w:p>
        </w:tc>
        <w:tc>
          <w:tcPr>
            <w:tcW w:w="1203" w:type="dxa"/>
            <w:tcBorders>
              <w:top w:val="single" w:sz="4" w:space="0" w:color="000000"/>
              <w:left w:val="single" w:sz="4" w:space="0" w:color="000000"/>
              <w:bottom w:val="single" w:sz="4" w:space="0" w:color="000000"/>
            </w:tcBorders>
          </w:tcPr>
          <w:p>
            <w:pPr>
              <w:pStyle w:val="style0"/>
              <w:autoSpaceDE w:val="false"/>
              <w:spacing w:lineRule="auto" w:line="360"/>
              <w:jc w:val="both"/>
              <w:rPr>
                <w:rFonts w:ascii="Arial" w:cs="Arial" w:hAnsi="Arial"/>
              </w:rPr>
            </w:pPr>
            <w:r>
              <w:rPr>
                <w:rFonts w:ascii="Arial" w:cs="Arial" w:hAnsi="Arial"/>
                <w:b/>
                <w:color w:val="0d0d0d"/>
              </w:rPr>
              <w:t>140</w:t>
            </w:r>
          </w:p>
        </w:tc>
        <w:tc>
          <w:tcPr>
            <w:tcW w:w="1488" w:type="dxa"/>
            <w:tcBorders>
              <w:top w:val="single" w:sz="4" w:space="0" w:color="000000"/>
              <w:left w:val="single" w:sz="4" w:space="0" w:color="000000"/>
              <w:bottom w:val="single" w:sz="4" w:space="0" w:color="000000"/>
              <w:right w:val="single" w:sz="4" w:space="0" w:color="ffffff"/>
            </w:tcBorders>
          </w:tcPr>
          <w:p>
            <w:pPr>
              <w:pStyle w:val="style0"/>
              <w:autoSpaceDE w:val="false"/>
              <w:spacing w:lineRule="auto" w:line="360"/>
              <w:jc w:val="both"/>
              <w:rPr>
                <w:rFonts w:ascii="Arial" w:cs="Arial" w:hAnsi="Arial"/>
              </w:rPr>
            </w:pPr>
            <w:r>
              <w:rPr>
                <w:rFonts w:ascii="Arial" w:cs="Arial" w:hAnsi="Arial"/>
                <w:b/>
                <w:color w:val="0d0d0d"/>
              </w:rPr>
              <w:t>100</w:t>
            </w:r>
          </w:p>
        </w:tc>
      </w:tr>
    </w:tbl>
    <w:p>
      <w:pPr>
        <w:pStyle w:val="style0"/>
        <w:spacing w:lineRule="auto" w:line="360"/>
        <w:jc w:val="both"/>
        <w:rPr>
          <w:rFonts w:ascii="Arial" w:cs="Arial" w:hAnsi="Arial"/>
        </w:rPr>
      </w:pPr>
    </w:p>
    <w:p>
      <w:pPr>
        <w:pStyle w:val="style0"/>
        <w:spacing w:lineRule="auto" w:line="360"/>
        <w:jc w:val="both"/>
        <w:rPr>
          <w:rFonts w:ascii="Arial" w:cs="Arial" w:hAnsi="Arial"/>
        </w:rPr>
      </w:pPr>
      <w:r>
        <w:rPr>
          <w:rFonts w:ascii="Arial" w:cs="Arial" w:hAnsi="Arial"/>
        </w:rPr>
        <w:t>Fuente: Datos primarios del autor</w:t>
      </w:r>
    </w:p>
    <w:p>
      <w:pPr>
        <w:pStyle w:val="style0"/>
        <w:spacing w:lineRule="auto" w:line="360"/>
        <w:jc w:val="both"/>
        <w:rPr>
          <w:rFonts w:ascii="Arial" w:cs="Arial" w:hAnsi="Arial"/>
        </w:rPr>
      </w:pPr>
    </w:p>
    <w:p>
      <w:pPr>
        <w:pStyle w:val="style0"/>
        <w:spacing w:lineRule="auto" w:line="360"/>
        <w:ind w:right="-213"/>
        <w:jc w:val="both"/>
        <w:rPr>
          <w:rFonts w:ascii="Arial" w:cs="Arial" w:hAnsi="Arial"/>
          <w:b/>
        </w:rPr>
      </w:pPr>
      <w:r>
        <w:rPr>
          <w:rFonts w:ascii="Arial" w:cs="Arial" w:hAnsi="Arial"/>
        </w:rPr>
        <w:t xml:space="preserve">La Tabla 6 representa la distribución de los pacientes del Consultorio 13 del Policlínico Mario Gutiérrez del municipio Holguín durante el año 2017 según  la </w:t>
      </w:r>
      <w:r>
        <w:rPr>
          <w:rFonts w:ascii="Arial" w:cs="Arial" w:hAnsi="Arial"/>
          <w:lang w:eastAsia="es-US"/>
        </w:rPr>
        <w:t xml:space="preserve">disposición para modificar sus estilos de vida inadecuados </w:t>
      </w:r>
      <w:r>
        <w:rPr>
          <w:rFonts w:ascii="Arial" w:cs="Arial" w:hAnsi="Arial"/>
        </w:rPr>
        <w:t>antes y después de la intervención, evidenciándose que antes de la intervención solo 17 pacientes que representa el 12.14% del total, estaban dispuestos a corregir sus estilos de vida inadecuados para controlar los factores de riesgo coronarios y luego de aplicada la estrategia educativa 135 pacientes para un 96.42% presentaron su disposición de tomar control de su situación de salud en aras de vivir una vida más saludable.</w:t>
      </w:r>
    </w:p>
    <w:p>
      <w:pPr>
        <w:pStyle w:val="style0"/>
        <w:suppressAutoHyphens/>
        <w:spacing w:lineRule="auto" w:line="360"/>
        <w:jc w:val="both"/>
        <w:rPr>
          <w:rFonts w:ascii="Arial" w:cs="Arial" w:hAnsi="Arial"/>
        </w:rPr>
      </w:pPr>
      <w:r>
        <w:rPr>
          <w:rFonts w:ascii="Arial" w:cs="Arial" w:hAnsi="Arial"/>
          <w:b/>
          <w:u w:val="single"/>
        </w:rPr>
        <w:t>Conclusiones:</w:t>
      </w:r>
      <w:r>
        <w:rPr>
          <w:rFonts w:ascii="Arial" w:cs="Arial" w:hAnsi="Arial"/>
        </w:rPr>
        <w:t xml:space="preserve"> La intervención educativa fue efectiva al  contribuir a elevar el nivel de conocimientos sobre los factores de riesgo coronarios, aumentó la percepción de riesgo y sirvió como compromiso para modificar sus estilos de vida inadecuados.</w:t>
      </w:r>
      <w:r>
        <w:rPr>
          <w:rFonts w:ascii="Arial" w:cs="Arial" w:hAnsi="Arial"/>
        </w:rPr>
        <w:t xml:space="preserve"> </w:t>
      </w:r>
      <w:r>
        <w:rPr>
          <w:rFonts w:ascii="Arial" w:cs="Arial" w:hAnsi="Arial"/>
        </w:rPr>
        <w:t>En la muestra predominó el sexo masculino, el grupo etario de 40 a 50 años y el nivel de escolaridad de secundaria terminada.</w:t>
      </w:r>
    </w:p>
    <w:p>
      <w:pPr>
        <w:pStyle w:val="style0"/>
        <w:numPr>
          <w:ilvl w:val="0"/>
          <w:numId w:val="1"/>
        </w:numPr>
        <w:suppressAutoHyphens/>
        <w:spacing w:lineRule="auto" w:line="360"/>
        <w:jc w:val="both"/>
        <w:rPr>
          <w:rFonts w:ascii="Arial" w:cs="Arial" w:hAnsi="Arial"/>
        </w:rPr>
      </w:pPr>
      <w:r>
        <w:rPr>
          <w:rFonts w:ascii="Arial" w:cs="Arial" w:hAnsi="Arial"/>
        </w:rPr>
        <w:t xml:space="preserve">Las </w:t>
      </w:r>
      <w:r>
        <w:rPr>
          <w:rFonts w:ascii="Arial" w:cs="Arial" w:hAnsi="Arial"/>
          <w:lang w:eastAsia="es-US"/>
        </w:rPr>
        <w:t xml:space="preserve"> fuentes de información para la adquisición de los conocimientos sobre enfermedades cardiovasculares que predominaron fueron la familia y la radio y televisión.</w:t>
      </w:r>
    </w:p>
    <w:p>
      <w:pPr>
        <w:pStyle w:val="style0"/>
        <w:numPr>
          <w:ilvl w:val="0"/>
          <w:numId w:val="1"/>
        </w:numPr>
        <w:suppressAutoHyphens/>
        <w:spacing w:lineRule="auto" w:line="360"/>
        <w:jc w:val="both"/>
        <w:rPr>
          <w:rFonts w:ascii="Arial" w:cs="Arial" w:hAnsi="Arial"/>
        </w:rPr>
      </w:pPr>
      <w:r>
        <w:rPr>
          <w:rFonts w:ascii="Arial" w:cs="Arial" w:hAnsi="Arial"/>
        </w:rPr>
        <w:t>El conocimiento sobre los factores de riesgo coronarios antes de la intervención era inadecuado y después de la misma fue de adecuado.</w:t>
      </w:r>
    </w:p>
    <w:p>
      <w:pPr>
        <w:pStyle w:val="style0"/>
        <w:numPr>
          <w:ilvl w:val="0"/>
          <w:numId w:val="1"/>
        </w:numPr>
        <w:suppressAutoHyphens/>
        <w:spacing w:lineRule="auto" w:line="360"/>
        <w:jc w:val="both"/>
        <w:rPr>
          <w:rFonts w:ascii="Arial" w:cs="Arial" w:hAnsi="Arial"/>
        </w:rPr>
      </w:pPr>
      <w:r>
        <w:rPr>
          <w:rFonts w:ascii="Arial" w:cs="Arial" w:hAnsi="Arial"/>
        </w:rPr>
        <w:t>La percepción del riesgo antes de la intervención era baja y después de la misma fue de alta.</w:t>
      </w:r>
    </w:p>
    <w:p>
      <w:pPr>
        <w:pStyle w:val="style0"/>
        <w:numPr>
          <w:ilvl w:val="0"/>
          <w:numId w:val="1"/>
        </w:numPr>
        <w:suppressAutoHyphens/>
        <w:spacing w:lineRule="auto" w:line="360"/>
        <w:jc w:val="both"/>
        <w:rPr>
          <w:rFonts w:ascii="Arial" w:cs="Arial" w:hAnsi="Arial"/>
        </w:rPr>
      </w:pPr>
      <w:r>
        <w:rPr>
          <w:rFonts w:ascii="Arial" w:cs="Arial" w:hAnsi="Arial"/>
        </w:rPr>
        <w:t>Antes de la aplicación de la intervención los pacientes no estaban dispuestos a modificar sus estilos de vida inadecuados y luego de la misma si mostraron su disposición a hacerlo.</w:t>
      </w:r>
    </w:p>
    <w:p>
      <w:pPr>
        <w:pStyle w:val="style0"/>
        <w:spacing w:lineRule="auto" w:line="360"/>
        <w:jc w:val="both"/>
        <w:rPr>
          <w:rFonts w:ascii="Arial" w:cs="Arial" w:hAnsi="Arial"/>
          <w:b/>
        </w:rPr>
      </w:pPr>
    </w:p>
    <w:p>
      <w:pPr>
        <w:pStyle w:val="style0"/>
        <w:spacing w:lineRule="auto" w:line="360"/>
        <w:jc w:val="center"/>
        <w:rPr>
          <w:rFonts w:ascii="Arial" w:cs="Arial" w:hAnsi="Arial"/>
        </w:rPr>
      </w:pPr>
      <w:r>
        <w:rPr>
          <w:rFonts w:ascii="Arial" w:cs="Arial" w:hAnsi="Arial"/>
          <w:b/>
        </w:rPr>
        <w:t>REFERENCIAS BILIOGRÁFICAS</w:t>
      </w:r>
    </w:p>
    <w:p>
      <w:pPr>
        <w:pStyle w:val="style0"/>
        <w:spacing w:before="100" w:beforeAutospacing="true" w:after="100" w:afterAutospacing="true" w:lineRule="auto" w:line="360"/>
        <w:jc w:val="both"/>
        <w:rPr>
          <w:rFonts w:ascii="Arial" w:cs="Arial" w:hAnsi="Arial"/>
        </w:rPr>
      </w:pPr>
      <w:r>
        <w:rPr>
          <w:rFonts w:ascii="Arial" w:cs="Arial" w:hAnsi="Arial"/>
        </w:rPr>
        <w:t xml:space="preserve">1-Texas </w:t>
      </w:r>
      <w:r>
        <w:rPr>
          <w:rFonts w:ascii="Arial" w:cs="Arial" w:hAnsi="Arial"/>
        </w:rPr>
        <w:t>Heart</w:t>
      </w:r>
      <w:r>
        <w:rPr>
          <w:rFonts w:ascii="Arial" w:cs="Arial" w:hAnsi="Arial"/>
        </w:rPr>
        <w:t xml:space="preserve"> </w:t>
      </w:r>
      <w:r>
        <w:rPr>
          <w:rFonts w:ascii="Arial" w:cs="Arial" w:hAnsi="Arial"/>
        </w:rPr>
        <w:t>Institute</w:t>
      </w:r>
      <w:r>
        <w:rPr>
          <w:rFonts w:ascii="Arial" w:cs="Arial" w:hAnsi="Arial"/>
        </w:rPr>
        <w:t xml:space="preserve">. Factores de riesgo cardiovascular [Internet]. Estados Unidos: THI; 2013 [citado 19 </w:t>
      </w:r>
      <w:r>
        <w:rPr>
          <w:rFonts w:ascii="Arial" w:cs="Arial" w:hAnsi="Arial"/>
        </w:rPr>
        <w:t>may</w:t>
      </w:r>
      <w:r>
        <w:rPr>
          <w:rFonts w:ascii="Arial" w:cs="Arial" w:hAnsi="Arial"/>
        </w:rPr>
        <w:t xml:space="preserve"> 2013]. Disponible en: </w:t>
      </w:r>
      <w:r>
        <w:rPr/>
        <w:fldChar w:fldCharType="begin"/>
      </w:r>
      <w:r>
        <w:instrText xml:space="preserve"> HYPERLINK "http://www.texasheartinstitute.org/hic/topics_esp/hsmart/riskspan.cfm" </w:instrText>
      </w:r>
      <w:r>
        <w:rPr/>
        <w:fldChar w:fldCharType="separate"/>
      </w:r>
      <w:r>
        <w:rPr>
          <w:rFonts w:ascii="Arial" w:cs="Arial" w:hAnsi="Arial"/>
          <w:color w:val="0000ff"/>
          <w:u w:val="single"/>
        </w:rPr>
        <w:t>http://www.texasheartinstitute.org/hic/topics_esp/hsmart/riskspan.cfm</w:t>
      </w:r>
      <w:r>
        <w:rPr/>
        <w:fldChar w:fldCharType="end"/>
      </w:r>
    </w:p>
    <w:p>
      <w:pPr>
        <w:pStyle w:val="style0"/>
        <w:spacing w:before="100" w:beforeAutospacing="true" w:after="100" w:afterAutospacing="true" w:lineRule="auto" w:line="360"/>
        <w:jc w:val="both"/>
        <w:rPr>
          <w:rFonts w:ascii="Arial" w:cs="Arial" w:hAnsi="Arial"/>
        </w:rPr>
      </w:pPr>
      <w:r>
        <w:rPr>
          <w:rFonts w:ascii="Arial" w:cs="Arial" w:hAnsi="Arial"/>
        </w:rPr>
        <w:t xml:space="preserve">2-Seuc AH, Domínguez E. Esperanza de vida ajustada por Cardiopatía Isquémica. </w:t>
      </w:r>
      <w:r>
        <w:rPr>
          <w:rFonts w:ascii="Arial" w:cs="Arial" w:hAnsi="Arial"/>
        </w:rPr>
        <w:t>Rev</w:t>
      </w:r>
      <w:r>
        <w:rPr>
          <w:rFonts w:ascii="Arial" w:cs="Arial" w:hAnsi="Arial"/>
        </w:rPr>
        <w:t xml:space="preserve"> Cubana </w:t>
      </w:r>
      <w:r>
        <w:rPr>
          <w:rFonts w:ascii="Arial" w:cs="Arial" w:hAnsi="Arial"/>
        </w:rPr>
        <w:t>Hig</w:t>
      </w:r>
      <w:r>
        <w:rPr>
          <w:rFonts w:ascii="Arial" w:cs="Arial" w:hAnsi="Arial"/>
        </w:rPr>
        <w:t xml:space="preserve"> </w:t>
      </w:r>
      <w:r>
        <w:rPr>
          <w:rFonts w:ascii="Arial" w:cs="Arial" w:hAnsi="Arial"/>
        </w:rPr>
        <w:t>Epidemiol</w:t>
      </w:r>
      <w:r>
        <w:rPr>
          <w:rFonts w:ascii="Arial" w:cs="Arial" w:hAnsi="Arial"/>
        </w:rPr>
        <w:t xml:space="preserve"> [Internet]. 2014 [citado 4 mar 2014]; </w:t>
      </w:r>
      <w:r>
        <w:rPr>
          <w:rFonts w:ascii="Arial" w:cs="Arial" w:hAnsi="Arial"/>
        </w:rPr>
        <w:t>43(1): [aprox. 5 p.]. Disponibleen:</w:t>
      </w:r>
      <w:r>
        <w:rPr/>
        <w:fldChar w:fldCharType="begin"/>
      </w:r>
      <w:r>
        <w:instrText xml:space="preserve"> HYPERLINK "http://scielo.sld.cu/scielo.php?script=sci_arttext&amp;pid=S156130032005000100003&amp;lng=es&amp;nrm=iso&amp;tlng=es" </w:instrText>
      </w:r>
      <w:r>
        <w:rPr/>
        <w:fldChar w:fldCharType="separate"/>
      </w:r>
      <w:r>
        <w:rPr>
          <w:rFonts w:ascii="Arial" w:cs="Arial" w:hAnsi="Arial"/>
          <w:color w:val="0000ff"/>
          <w:u w:val="single"/>
        </w:rPr>
        <w:t>http://scielo.sld.cu/scielo.php?script=sci_arttext&amp;pid=S156130032005000100003&amp;lng=es&amp;nrm=iso&amp;tlng=es</w:t>
      </w:r>
      <w:r>
        <w:rPr/>
        <w:fldChar w:fldCharType="end"/>
      </w:r>
    </w:p>
    <w:p>
      <w:pPr>
        <w:pStyle w:val="style0"/>
        <w:spacing w:before="100" w:beforeAutospacing="true" w:after="100" w:afterAutospacing="true" w:lineRule="auto" w:line="360"/>
        <w:jc w:val="both"/>
        <w:rPr>
          <w:rFonts w:ascii="Arial" w:cs="Arial" w:hAnsi="Arial"/>
        </w:rPr>
      </w:pPr>
      <w:r>
        <w:rPr>
          <w:rFonts w:ascii="Arial" w:cs="Arial" w:hAnsi="Arial"/>
        </w:rPr>
        <w:t xml:space="preserve">3-Delcán JL. Cardiopatía Isquémica. Epidemiología de la Cardiopatía Isquémica: Factores de Riesgo y Prevención Primaria. Madrid: Ediciones </w:t>
      </w:r>
      <w:r>
        <w:rPr>
          <w:rFonts w:ascii="Arial" w:cs="Arial" w:hAnsi="Arial"/>
        </w:rPr>
        <w:t>Harcourt</w:t>
      </w:r>
      <w:r>
        <w:rPr>
          <w:rFonts w:ascii="Arial" w:cs="Arial" w:hAnsi="Arial"/>
        </w:rPr>
        <w:t>; 1999.</w:t>
      </w:r>
    </w:p>
    <w:p>
      <w:pPr>
        <w:pStyle w:val="style0"/>
        <w:shd w:val="clear" w:color="auto" w:fill="ffffff"/>
        <w:spacing w:before="100" w:beforeAutospacing="true" w:after="100" w:afterAutospacing="true" w:lineRule="auto" w:line="360"/>
        <w:jc w:val="both"/>
        <w:rPr>
          <w:rFonts w:ascii="Arial" w:cs="Arial" w:hAnsi="Arial"/>
        </w:rPr>
      </w:pPr>
      <w:r>
        <w:rPr>
          <w:rFonts w:ascii="Arial" w:cs="Arial" w:hAnsi="Arial"/>
        </w:rPr>
        <w:t xml:space="preserve">4-Roca </w:t>
      </w:r>
      <w:r>
        <w:rPr>
          <w:rFonts w:ascii="Arial" w:cs="Arial" w:hAnsi="Arial"/>
        </w:rPr>
        <w:t>Goderich</w:t>
      </w:r>
      <w:r>
        <w:rPr>
          <w:rFonts w:ascii="Arial" w:cs="Arial" w:hAnsi="Arial"/>
        </w:rPr>
        <w:t xml:space="preserve"> R. Cardiopatía Isquémica. En: Temas de Medicina Interna. 4ta ed. La Habana. Editorial Ciencias Médicas, 2011. </w:t>
      </w:r>
      <w:r>
        <w:rPr>
          <w:rFonts w:ascii="Arial" w:cs="Arial" w:hAnsi="Arial"/>
        </w:rPr>
        <w:t>p.392 .</w:t>
      </w:r>
    </w:p>
    <w:p>
      <w:pPr>
        <w:pStyle w:val="style0"/>
        <w:shd w:val="clear" w:color="auto" w:fill="ffffff"/>
        <w:spacing w:before="100" w:beforeAutospacing="true" w:after="100" w:afterAutospacing="true" w:lineRule="auto" w:line="360"/>
        <w:jc w:val="both"/>
        <w:rPr>
          <w:rFonts w:ascii="Arial" w:cs="Arial" w:hAnsi="Arial"/>
          <w:lang w:val="en-US"/>
        </w:rPr>
      </w:pPr>
      <w:r>
        <w:rPr>
          <w:rFonts w:ascii="Arial" w:cs="Arial" w:hAnsi="Arial"/>
        </w:rPr>
        <w:t xml:space="preserve">5-Crea F., and </w:t>
      </w:r>
      <w:r>
        <w:rPr>
          <w:rFonts w:ascii="Arial" w:cs="Arial" w:hAnsi="Arial"/>
        </w:rPr>
        <w:t>Liuzzo</w:t>
      </w:r>
      <w:r>
        <w:rPr>
          <w:rFonts w:ascii="Arial" w:cs="Arial" w:hAnsi="Arial"/>
        </w:rPr>
        <w:t xml:space="preserve"> G.: </w:t>
      </w:r>
      <w:r>
        <w:rPr>
          <w:rFonts w:ascii="Arial" w:cs="Arial" w:hAnsi="Arial"/>
        </w:rPr>
        <w:t>Pathogenesis</w:t>
      </w:r>
      <w:r>
        <w:rPr>
          <w:rFonts w:ascii="Arial" w:cs="Arial" w:hAnsi="Arial"/>
        </w:rPr>
        <w:t xml:space="preserve"> of </w:t>
      </w:r>
      <w:r>
        <w:rPr>
          <w:rFonts w:ascii="Arial" w:cs="Arial" w:hAnsi="Arial"/>
        </w:rPr>
        <w:t>acute</w:t>
      </w:r>
      <w:r>
        <w:rPr>
          <w:rFonts w:ascii="Arial" w:cs="Arial" w:hAnsi="Arial"/>
        </w:rPr>
        <w:t xml:space="preserve"> </w:t>
      </w:r>
      <w:r>
        <w:rPr>
          <w:rFonts w:ascii="Arial" w:cs="Arial" w:hAnsi="Arial"/>
        </w:rPr>
        <w:t>coronary</w:t>
      </w:r>
      <w:r>
        <w:rPr>
          <w:rFonts w:ascii="Arial" w:cs="Arial" w:hAnsi="Arial"/>
        </w:rPr>
        <w:t xml:space="preserve"> </w:t>
      </w:r>
      <w:r>
        <w:rPr>
          <w:rFonts w:ascii="Arial" w:cs="Arial" w:hAnsi="Arial"/>
        </w:rPr>
        <w:t>syndromes</w:t>
      </w:r>
      <w:r>
        <w:rPr>
          <w:rFonts w:ascii="Arial" w:cs="Arial" w:hAnsi="Arial"/>
        </w:rPr>
        <w:t xml:space="preserve">. </w:t>
      </w:r>
      <w:r>
        <w:rPr>
          <w:rFonts w:ascii="Arial" w:cs="Arial" w:hAnsi="Arial"/>
          <w:lang w:val="en-US"/>
        </w:rPr>
        <w:t xml:space="preserve">J Am </w:t>
      </w:r>
      <w:r>
        <w:rPr>
          <w:rFonts w:ascii="Arial" w:cs="Arial" w:hAnsi="Arial"/>
          <w:lang w:val="en-US"/>
        </w:rPr>
        <w:t>Coll</w:t>
      </w:r>
      <w:r>
        <w:rPr>
          <w:rFonts w:ascii="Arial" w:cs="Arial" w:hAnsi="Arial"/>
          <w:lang w:val="en-US"/>
        </w:rPr>
        <w:t xml:space="preserve"> </w:t>
      </w:r>
      <w:r>
        <w:rPr>
          <w:rFonts w:ascii="Arial" w:cs="Arial" w:hAnsi="Arial"/>
          <w:lang w:val="en-US"/>
        </w:rPr>
        <w:t>Cardiol</w:t>
      </w:r>
      <w:r>
        <w:rPr>
          <w:rFonts w:ascii="Arial" w:cs="Arial" w:hAnsi="Arial"/>
          <w:lang w:val="en-US"/>
        </w:rPr>
        <w:t xml:space="preserve"> 2013; 61: pp. 1</w:t>
      </w:r>
    </w:p>
    <w:p>
      <w:pPr>
        <w:pStyle w:val="style0"/>
        <w:spacing w:lineRule="auto" w:line="360"/>
        <w:jc w:val="both"/>
        <w:rPr>
          <w:rFonts w:ascii="Arial" w:cs="Arial" w:hAnsi="Arial"/>
          <w:lang w:val="en-GB"/>
        </w:rPr>
      </w:pPr>
      <w:r>
        <w:rPr>
          <w:rFonts w:ascii="Arial" w:cs="Arial" w:hAnsi="Arial"/>
          <w:lang w:val="en-GB"/>
        </w:rPr>
        <w:t xml:space="preserve">6- Libby P.: Mechanisms of acute coronary syndromes. N </w:t>
      </w:r>
      <w:r>
        <w:rPr>
          <w:rFonts w:ascii="Arial" w:cs="Arial" w:hAnsi="Arial"/>
          <w:lang w:val="en-GB"/>
        </w:rPr>
        <w:t>Engl</w:t>
      </w:r>
      <w:r>
        <w:rPr>
          <w:rFonts w:ascii="Arial" w:cs="Arial" w:hAnsi="Arial"/>
          <w:lang w:val="en-GB"/>
        </w:rPr>
        <w:t xml:space="preserve"> J Med 2014; 369: pp. 883</w:t>
      </w:r>
    </w:p>
    <w:p>
      <w:pPr>
        <w:pStyle w:val="style0"/>
        <w:spacing w:lineRule="auto" w:line="360"/>
        <w:jc w:val="both"/>
        <w:rPr>
          <w:rFonts w:ascii="Arial" w:cs="Arial" w:hAnsi="Arial"/>
          <w:lang w:val="en-GB"/>
        </w:rPr>
      </w:pPr>
    </w:p>
    <w:p>
      <w:pPr>
        <w:pStyle w:val="style0"/>
        <w:spacing w:lineRule="auto" w:line="360"/>
        <w:jc w:val="both"/>
        <w:rPr>
          <w:rFonts w:ascii="Arial" w:cs="Arial" w:hAnsi="Arial"/>
          <w:lang w:val="en-US"/>
        </w:rPr>
      </w:pPr>
      <w:r>
        <w:rPr>
          <w:rFonts w:ascii="Arial" w:cs="Arial" w:hAnsi="Arial"/>
          <w:lang w:val="en-GB"/>
        </w:rPr>
        <w:t xml:space="preserve">7- </w:t>
      </w:r>
      <w:r>
        <w:rPr>
          <w:rFonts w:ascii="Arial" w:cs="Arial" w:hAnsi="Arial"/>
          <w:lang w:val="en-GB"/>
        </w:rPr>
        <w:t>Jia</w:t>
      </w:r>
      <w:r>
        <w:rPr>
          <w:rFonts w:ascii="Arial" w:cs="Arial" w:hAnsi="Arial"/>
          <w:lang w:val="en-GB"/>
        </w:rPr>
        <w:t xml:space="preserve"> H., </w:t>
      </w:r>
      <w:r>
        <w:rPr>
          <w:rFonts w:ascii="Arial" w:cs="Arial" w:hAnsi="Arial"/>
          <w:lang w:val="en-GB"/>
        </w:rPr>
        <w:t>Abtahian</w:t>
      </w:r>
      <w:r>
        <w:rPr>
          <w:rFonts w:ascii="Arial" w:cs="Arial" w:hAnsi="Arial"/>
          <w:lang w:val="en-GB"/>
        </w:rPr>
        <w:t xml:space="preserve"> F., Aguirre A.D., et al: In vivo diagnosis of plaque erosion and calcified nodule in patients with acute coronary syndrome by intravascular optical coherence tomography. </w:t>
      </w:r>
      <w:r>
        <w:rPr>
          <w:rFonts w:ascii="Arial" w:cs="Arial" w:hAnsi="Arial"/>
          <w:lang w:val="en-US"/>
        </w:rPr>
        <w:t xml:space="preserve">J Am </w:t>
      </w:r>
      <w:r>
        <w:rPr>
          <w:rFonts w:ascii="Arial" w:cs="Arial" w:hAnsi="Arial"/>
          <w:lang w:val="en-US"/>
        </w:rPr>
        <w:t>Coll</w:t>
      </w:r>
      <w:r>
        <w:rPr>
          <w:rFonts w:ascii="Arial" w:cs="Arial" w:hAnsi="Arial"/>
          <w:lang w:val="en-US"/>
        </w:rPr>
        <w:t xml:space="preserve"> </w:t>
      </w:r>
      <w:r>
        <w:rPr>
          <w:rFonts w:ascii="Arial" w:cs="Arial" w:hAnsi="Arial"/>
          <w:lang w:val="en-US"/>
        </w:rPr>
        <w:t>Cardiol</w:t>
      </w:r>
      <w:r>
        <w:rPr>
          <w:rFonts w:ascii="Arial" w:cs="Arial" w:hAnsi="Arial"/>
          <w:lang w:val="en-US"/>
        </w:rPr>
        <w:t xml:space="preserve"> 2013; 62: pp. 1748</w:t>
      </w:r>
    </w:p>
    <w:p>
      <w:pPr>
        <w:pStyle w:val="style0"/>
        <w:spacing w:lineRule="auto" w:line="360"/>
        <w:jc w:val="both"/>
        <w:rPr>
          <w:rFonts w:ascii="Arial" w:cs="Arial" w:hAnsi="Arial"/>
          <w:lang w:val="en-US"/>
        </w:rPr>
      </w:pPr>
    </w:p>
    <w:p>
      <w:pPr>
        <w:pStyle w:val="style0"/>
        <w:spacing w:lineRule="auto" w:line="360"/>
        <w:jc w:val="both"/>
        <w:rPr>
          <w:rFonts w:ascii="Arial" w:cs="Arial" w:hAnsi="Arial"/>
        </w:rPr>
      </w:pPr>
      <w:r>
        <w:rPr>
          <w:rFonts w:ascii="Arial" w:cs="Arial" w:hAnsi="Arial"/>
          <w:lang w:val="en-US"/>
        </w:rPr>
        <w:t xml:space="preserve">8-Castro </w:t>
      </w:r>
      <w:r>
        <w:rPr>
          <w:rFonts w:ascii="Arial" w:cs="Arial" w:hAnsi="Arial"/>
          <w:lang w:val="en-US"/>
        </w:rPr>
        <w:t>Mejía</w:t>
      </w:r>
      <w:r>
        <w:rPr>
          <w:rFonts w:ascii="Arial" w:cs="Arial" w:hAnsi="Arial"/>
          <w:lang w:val="en-US"/>
        </w:rPr>
        <w:t xml:space="preserve"> AF et al. </w:t>
      </w:r>
      <w:r>
        <w:rPr>
          <w:rFonts w:ascii="Arial" w:cs="Arial" w:hAnsi="Arial"/>
        </w:rPr>
        <w:t xml:space="preserve">Factores de riesgo en pacientes con cardiopatía isquémica </w:t>
      </w:r>
      <w:r>
        <w:rPr>
          <w:rFonts w:ascii="Arial" w:cs="Arial" w:hAnsi="Arial"/>
        </w:rPr>
        <w:t>angiográficamente</w:t>
      </w:r>
      <w:r>
        <w:rPr>
          <w:rFonts w:ascii="Arial" w:cs="Arial" w:hAnsi="Arial"/>
        </w:rPr>
        <w:t xml:space="preserve"> severa: deferencias según sexo. [Internet]. 2015.  21(2)  [citado  2016  enero  03]  Disponible  en: </w:t>
      </w:r>
      <w:r>
        <w:rPr/>
        <w:fldChar w:fldCharType="begin"/>
      </w:r>
      <w:r>
        <w:instrText xml:space="preserve"> HYPERLINK "http://www.revcardiologia.sld.cu/index.php/revcardiologia/article/view/577/html_3" </w:instrText>
      </w:r>
      <w:r>
        <w:rPr/>
        <w:fldChar w:fldCharType="separate"/>
      </w:r>
      <w:r>
        <w:rPr>
          <w:rFonts w:ascii="Arial" w:cs="Arial" w:hAnsi="Arial"/>
          <w:color w:val="0000ff"/>
          <w:u w:val="single"/>
        </w:rPr>
        <w:t>http://www.revcardiologia.sld.cu/index.php/revcardiologia/article/view/577/html_3</w:t>
      </w:r>
      <w:r>
        <w:rPr/>
        <w:fldChar w:fldCharType="end"/>
      </w:r>
    </w:p>
    <w:p>
      <w:pPr>
        <w:pStyle w:val="style0"/>
        <w:spacing w:lineRule="auto" w:line="360"/>
        <w:jc w:val="both"/>
        <w:rPr>
          <w:rFonts w:ascii="Arial" w:cs="Arial" w:hAnsi="Arial"/>
        </w:rPr>
      </w:pPr>
    </w:p>
    <w:p>
      <w:pPr>
        <w:pStyle w:val="style0"/>
        <w:spacing w:lineRule="auto" w:line="360"/>
        <w:jc w:val="both"/>
        <w:rPr>
          <w:rFonts w:ascii="Arial" w:cs="Arial" w:hAnsi="Arial"/>
        </w:rPr>
      </w:pPr>
      <w:r>
        <w:rPr>
          <w:rFonts w:ascii="Arial" w:cs="Arial" w:hAnsi="Arial"/>
        </w:rPr>
        <w:t xml:space="preserve">9-Organización Mundial de la Salud. Enfermedades cardiovasculares. </w:t>
      </w:r>
      <w:r>
        <w:rPr>
          <w:rFonts w:ascii="Arial" w:cs="Arial" w:hAnsi="Arial"/>
        </w:rPr>
        <w:t>MONICA.Ginebra</w:t>
      </w:r>
      <w:r>
        <w:rPr>
          <w:rFonts w:ascii="Arial" w:cs="Arial" w:hAnsi="Arial"/>
        </w:rPr>
        <w:t>: OMS; 2015</w:t>
      </w:r>
    </w:p>
    <w:p>
      <w:pPr>
        <w:pStyle w:val="style0"/>
        <w:spacing w:lineRule="auto" w:line="360"/>
        <w:jc w:val="both"/>
        <w:rPr>
          <w:rFonts w:ascii="Arial" w:cs="Arial" w:hAnsi="Arial"/>
        </w:rPr>
      </w:pPr>
    </w:p>
    <w:p>
      <w:pPr>
        <w:pStyle w:val="style0"/>
        <w:spacing w:lineRule="auto" w:line="360"/>
        <w:jc w:val="both"/>
        <w:rPr>
          <w:rFonts w:ascii="Arial" w:cs="Arial" w:eastAsia="Arial" w:hAnsi="Arial"/>
        </w:rPr>
      </w:pPr>
      <w:r>
        <w:rPr>
          <w:rFonts w:ascii="Arial" w:cs="Arial" w:hAnsi="Arial"/>
        </w:rPr>
        <w:t xml:space="preserve">10- Armas Rojas NB et al. Cardiopatía Isquémica en Cuba. Una puesta al día. Revista cubana de cardiología y </w:t>
      </w:r>
      <w:r>
        <w:rPr>
          <w:rFonts w:ascii="Arial" w:cs="Arial" w:hAnsi="Arial"/>
        </w:rPr>
        <w:t>cirugíia</w:t>
      </w:r>
      <w:r>
        <w:rPr>
          <w:rFonts w:ascii="Arial" w:cs="Arial" w:hAnsi="Arial"/>
        </w:rPr>
        <w:t xml:space="preserve"> cardiovascular. [</w:t>
      </w:r>
      <w:r>
        <w:rPr>
          <w:rFonts w:ascii="Arial" w:cs="Arial" w:hAnsi="Arial"/>
        </w:rPr>
        <w:t>revista</w:t>
      </w:r>
      <w:r>
        <w:rPr>
          <w:rFonts w:ascii="Arial" w:cs="Arial" w:hAnsi="Arial"/>
        </w:rPr>
        <w:t xml:space="preserve"> en la Internet]. 2015. 21(3). [</w:t>
      </w:r>
      <w:r>
        <w:rPr>
          <w:rFonts w:ascii="Arial" w:cs="Arial" w:hAnsi="Arial"/>
        </w:rPr>
        <w:t>citado</w:t>
      </w:r>
      <w:r>
        <w:rPr>
          <w:rFonts w:ascii="Arial" w:cs="Arial" w:hAnsi="Arial"/>
        </w:rPr>
        <w:t xml:space="preserve"> 2016 enero 02] Disponible en: </w:t>
      </w:r>
      <w:r>
        <w:rPr/>
        <w:fldChar w:fldCharType="begin"/>
      </w:r>
      <w:r>
        <w:instrText xml:space="preserve"> HYPERLINK "http://www.revcardiologia.sld.cu/index.php/revcardiologia/article/view/597/html_11" </w:instrText>
      </w:r>
      <w:r>
        <w:rPr/>
        <w:fldChar w:fldCharType="separate"/>
      </w:r>
      <w:r>
        <w:rPr>
          <w:rFonts w:ascii="Arial" w:cs="Arial" w:hAnsi="Arial"/>
          <w:color w:val="0000ff"/>
          <w:u w:val="single"/>
        </w:rPr>
        <w:t>http://www.revcardiologia.sld.cu/index.php/revcardiologia/article/view/597/html_11</w:t>
      </w:r>
      <w:r>
        <w:rPr/>
        <w:fldChar w:fldCharType="end"/>
      </w:r>
    </w:p>
    <w:p>
      <w:pPr>
        <w:pStyle w:val="style0"/>
        <w:spacing w:lineRule="auto" w:line="360"/>
        <w:jc w:val="both"/>
        <w:rPr>
          <w:rFonts w:ascii="Arial" w:cs="Arial" w:eastAsia="Arial" w:hAnsi="Arial"/>
        </w:rPr>
      </w:pPr>
      <w:r>
        <w:rPr>
          <w:rFonts w:ascii="Arial" w:cs="Arial" w:eastAsia="Arial" w:hAnsi="Arial"/>
        </w:rPr>
        <w:t>11-</w:t>
      </w:r>
      <w:r>
        <w:rPr>
          <w:rFonts w:ascii="Arial" w:cs="Arial" w:hAnsi="Arial"/>
        </w:rPr>
        <w:t xml:space="preserve"> Cuba. Ministerio de Salud Pública. Dirección de registros médicos y estadísticas de salud, Anuario Estadístico 2016. La Habana: MINSAP; 2017.</w:t>
      </w:r>
    </w:p>
    <w:p>
      <w:pPr>
        <w:pStyle w:val="style0"/>
        <w:spacing w:lineRule="auto" w:line="360"/>
        <w:jc w:val="both"/>
        <w:rPr>
          <w:rFonts w:ascii="Arial" w:cs="Arial" w:eastAsia="Arial" w:hAnsi="Arial"/>
        </w:rPr>
      </w:pPr>
    </w:p>
    <w:p>
      <w:pPr>
        <w:pStyle w:val="style0"/>
        <w:spacing w:lineRule="auto" w:line="360"/>
        <w:jc w:val="both"/>
        <w:rPr>
          <w:rFonts w:ascii="Arial" w:cs="Arial" w:hAnsi="Arial"/>
        </w:rPr>
      </w:pPr>
      <w:r>
        <w:rPr>
          <w:rFonts w:ascii="Arial" w:cs="Arial" w:hAnsi="Arial"/>
        </w:rPr>
        <w:t xml:space="preserve">12- Gómez-Barrado José </w:t>
      </w:r>
      <w:r>
        <w:rPr>
          <w:rFonts w:ascii="Arial" w:cs="Arial" w:hAnsi="Arial"/>
        </w:rPr>
        <w:t>J ,</w:t>
      </w:r>
      <w:r>
        <w:rPr>
          <w:rFonts w:ascii="Arial" w:cs="Arial" w:hAnsi="Arial"/>
        </w:rPr>
        <w:t xml:space="preserve"> Ortiz Carolina, Gómez-</w:t>
      </w:r>
      <w:r>
        <w:rPr>
          <w:rFonts w:ascii="Arial" w:cs="Arial" w:hAnsi="Arial"/>
        </w:rPr>
        <w:t>Turégano</w:t>
      </w:r>
      <w:r>
        <w:rPr>
          <w:rFonts w:ascii="Arial" w:cs="Arial" w:hAnsi="Arial"/>
        </w:rPr>
        <w:t xml:space="preserve">. Control lipídico en pacientes con enfermedad coronaria del Área de Salud de Cáceres (España): Estudio LIPICERES. Clínica e </w:t>
      </w:r>
      <w:r>
        <w:rPr>
          <w:rFonts w:ascii="Arial" w:cs="Arial" w:hAnsi="Arial"/>
        </w:rPr>
        <w:t>Invetigación</w:t>
      </w:r>
      <w:r>
        <w:rPr>
          <w:rFonts w:ascii="Arial" w:cs="Arial" w:hAnsi="Arial"/>
        </w:rPr>
        <w:t xml:space="preserve"> en Aterosclerosis (</w:t>
      </w:r>
      <w:r>
        <w:rPr>
          <w:rFonts w:ascii="Arial" w:cs="Arial" w:hAnsi="Arial"/>
        </w:rPr>
        <w:t>Esp</w:t>
      </w:r>
      <w:r>
        <w:rPr>
          <w:rFonts w:ascii="Arial" w:cs="Arial" w:hAnsi="Arial"/>
        </w:rPr>
        <w:t>). 2017; 29(1):13-19</w:t>
      </w:r>
    </w:p>
    <w:p>
      <w:pPr>
        <w:pStyle w:val="style0"/>
        <w:spacing w:lineRule="auto" w:line="360"/>
        <w:jc w:val="both"/>
        <w:rPr>
          <w:rFonts w:ascii="Arial" w:cs="Arial" w:hAnsi="Arial"/>
        </w:rPr>
      </w:pPr>
      <w:r>
        <w:rPr>
          <w:rFonts w:ascii="Arial" w:cs="Arial" w:hAnsi="Arial"/>
        </w:rPr>
        <w:t xml:space="preserve">13- </w:t>
      </w:r>
      <w:r>
        <w:rPr>
          <w:rFonts w:ascii="Arial" w:cs="Arial" w:hAnsi="Arial"/>
        </w:rPr>
        <w:t>Guallar</w:t>
      </w:r>
      <w:r>
        <w:rPr>
          <w:rFonts w:ascii="Arial" w:cs="Arial" w:hAnsi="Arial"/>
        </w:rPr>
        <w:t xml:space="preserve">-Castillón P, Gil-Montero M, León-Muñoz LM, </w:t>
      </w:r>
      <w:r>
        <w:rPr>
          <w:rFonts w:ascii="Arial" w:cs="Arial" w:hAnsi="Arial"/>
        </w:rPr>
        <w:t>Graciani</w:t>
      </w:r>
      <w:r>
        <w:rPr>
          <w:rFonts w:ascii="Arial" w:cs="Arial" w:hAnsi="Arial"/>
        </w:rPr>
        <w:t xml:space="preserve"> A, </w:t>
      </w:r>
      <w:r>
        <w:rPr>
          <w:rFonts w:ascii="Arial" w:cs="Arial" w:hAnsi="Arial"/>
        </w:rPr>
        <w:t>Bayán</w:t>
      </w:r>
      <w:r>
        <w:rPr>
          <w:rFonts w:ascii="Arial" w:cs="Arial" w:hAnsi="Arial"/>
        </w:rPr>
        <w:t xml:space="preserve">-Bravo A, Taboada JM, et al. </w:t>
      </w:r>
      <w:r>
        <w:rPr>
          <w:rFonts w:ascii="Arial" w:cs="Arial" w:hAnsi="Arial"/>
          <w:lang w:val="en-GB"/>
        </w:rPr>
        <w:t xml:space="preserve">Magnitude and management of hypercholesterolemia in the adult population of Spain, 2013-2014: The ENRICA study. </w:t>
      </w:r>
      <w:r>
        <w:rPr>
          <w:rFonts w:ascii="Arial" w:cs="Arial" w:hAnsi="Arial"/>
        </w:rPr>
        <w:t>Rev</w:t>
      </w:r>
      <w:r>
        <w:rPr>
          <w:rFonts w:ascii="Arial" w:cs="Arial" w:hAnsi="Arial"/>
        </w:rPr>
        <w:t xml:space="preserve"> </w:t>
      </w:r>
      <w:r>
        <w:rPr>
          <w:rFonts w:ascii="Arial" w:cs="Arial" w:hAnsi="Arial"/>
        </w:rPr>
        <w:t>Esp</w:t>
      </w:r>
      <w:r>
        <w:rPr>
          <w:rFonts w:ascii="Arial" w:cs="Arial" w:hAnsi="Arial"/>
        </w:rPr>
        <w:t xml:space="preserve"> </w:t>
      </w:r>
      <w:r>
        <w:rPr>
          <w:rFonts w:ascii="Arial" w:cs="Arial" w:hAnsi="Arial"/>
        </w:rPr>
        <w:t>Cardiol</w:t>
      </w:r>
      <w:r>
        <w:rPr>
          <w:rFonts w:ascii="Arial" w:cs="Arial" w:hAnsi="Arial"/>
        </w:rPr>
        <w:t>. 2014</w:t>
      </w:r>
      <w:r>
        <w:rPr>
          <w:rFonts w:ascii="Arial" w:cs="Arial" w:hAnsi="Arial"/>
        </w:rPr>
        <w:t>;65:551</w:t>
      </w:r>
      <w:r>
        <w:rPr>
          <w:rFonts w:ascii="Arial" w:cs="Arial" w:hAnsi="Arial"/>
        </w:rPr>
        <w:t>-8.</w:t>
      </w:r>
    </w:p>
    <w:p>
      <w:pPr>
        <w:pStyle w:val="style0"/>
        <w:spacing w:lineRule="auto" w:line="360"/>
        <w:jc w:val="both"/>
        <w:rPr>
          <w:rFonts w:ascii="Arial" w:cs="Arial" w:hAnsi="Arial"/>
        </w:rPr>
      </w:pPr>
    </w:p>
    <w:p>
      <w:pPr>
        <w:pStyle w:val="style0"/>
        <w:spacing w:lineRule="auto" w:line="360"/>
        <w:jc w:val="both"/>
        <w:rPr>
          <w:rFonts w:ascii="Arial" w:cs="Arial" w:hAnsi="Arial"/>
        </w:rPr>
      </w:pPr>
      <w:r>
        <w:rPr>
          <w:rFonts w:ascii="Arial" w:cs="Arial" w:hAnsi="Arial"/>
        </w:rPr>
        <w:t xml:space="preserve">14- Brea A. Tratamiento de la </w:t>
      </w:r>
      <w:r>
        <w:rPr>
          <w:rFonts w:ascii="Arial" w:cs="Arial" w:hAnsi="Arial"/>
        </w:rPr>
        <w:t>dislipemia</w:t>
      </w:r>
      <w:r>
        <w:rPr>
          <w:rFonts w:ascii="Arial" w:cs="Arial" w:hAnsi="Arial"/>
        </w:rPr>
        <w:t xml:space="preserve"> en grupos especiales: ancianos y embarazadas. </w:t>
      </w:r>
      <w:r>
        <w:rPr>
          <w:rFonts w:ascii="Arial" w:cs="Arial" w:hAnsi="Arial"/>
        </w:rPr>
        <w:t>Clin</w:t>
      </w:r>
      <w:r>
        <w:rPr>
          <w:rFonts w:ascii="Arial" w:cs="Arial" w:hAnsi="Arial"/>
        </w:rPr>
        <w:t xml:space="preserve"> </w:t>
      </w:r>
      <w:r>
        <w:rPr>
          <w:rFonts w:ascii="Arial" w:cs="Arial" w:hAnsi="Arial"/>
        </w:rPr>
        <w:t>Invest</w:t>
      </w:r>
      <w:r>
        <w:rPr>
          <w:rFonts w:ascii="Arial" w:cs="Arial" w:hAnsi="Arial"/>
        </w:rPr>
        <w:t xml:space="preserve"> </w:t>
      </w:r>
      <w:r>
        <w:rPr>
          <w:rFonts w:ascii="Arial" w:cs="Arial" w:hAnsi="Arial"/>
        </w:rPr>
        <w:t>Arterioscler</w:t>
      </w:r>
      <w:r>
        <w:rPr>
          <w:rFonts w:ascii="Arial" w:cs="Arial" w:hAnsi="Arial"/>
        </w:rPr>
        <w:t>. 2013</w:t>
      </w:r>
      <w:r>
        <w:rPr>
          <w:rFonts w:ascii="Arial" w:cs="Arial" w:hAnsi="Arial"/>
        </w:rPr>
        <w:t>;23:31</w:t>
      </w:r>
      <w:r>
        <w:rPr>
          <w:rFonts w:ascii="Arial" w:cs="Arial" w:hAnsi="Arial"/>
        </w:rPr>
        <w:t>--9.</w:t>
      </w:r>
    </w:p>
    <w:p>
      <w:pPr>
        <w:pStyle w:val="style0"/>
        <w:spacing w:lineRule="auto" w:line="360"/>
        <w:jc w:val="both"/>
        <w:rPr>
          <w:rFonts w:ascii="Arial" w:cs="Arial" w:hAnsi="Arial"/>
        </w:rPr>
      </w:pPr>
      <w:r>
        <w:rPr>
          <w:rFonts w:ascii="Arial" w:cs="Arial" w:hAnsi="Arial"/>
        </w:rPr>
        <w:t xml:space="preserve">15- </w:t>
      </w:r>
      <w:r>
        <w:rPr>
          <w:rFonts w:ascii="Arial" w:cs="Arial" w:hAnsi="Arial"/>
        </w:rPr>
        <w:t>Maxibel</w:t>
      </w:r>
      <w:r>
        <w:rPr>
          <w:rFonts w:ascii="Arial" w:cs="Arial" w:hAnsi="Arial"/>
        </w:rPr>
        <w:t xml:space="preserve"> Moya Cala. Alteraciones vasculares en ancianos de un área de salud de Santiago de Cuba. MEDISAN vol.19 no.1 Santiago de Cuba ene.-ene. 2015</w:t>
      </w:r>
    </w:p>
    <w:p>
      <w:pPr>
        <w:pStyle w:val="style0"/>
        <w:rPr/>
      </w:pPr>
    </w:p>
    <w:sectPr>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004020304"/>
    <w:charset w:val="00"/>
    <w:family w:val="roman"/>
    <w:pitch w:val="variable"/>
    <w:sig w:usb0="E0002AFF" w:usb1="C0007841" w:usb2="00000009" w:usb3="00000000" w:csb0="000001FF" w:csb1="00000000"/>
  </w:font>
  <w:font w:name="Calibri">
    <w:altName w:val="Calibri"/>
    <w:panose1 w:val="020f0502020002030204"/>
    <w:charset w:val="00"/>
    <w:family w:val="swiss"/>
    <w:pitch w:val="variable"/>
    <w:sig w:usb0="E10002FF" w:usb1="4000ACFF" w:usb2="00000009" w:usb3="00000000" w:csb0="0000019F" w:csb1="00000000"/>
  </w:font>
  <w:font w:name="Arial">
    <w:altName w:val="Arial"/>
    <w:panose1 w:val="020b0604020002020204"/>
    <w:charset w:val="00"/>
    <w:family w:val="swiss"/>
    <w:pitch w:val="variable"/>
    <w:sig w:usb0="E0002AFF" w:usb1="C0007843" w:usb2="00000009" w:usb3="00000000" w:csb0="000001FF" w:csb1="00000000"/>
  </w:font>
  <w:font w:name="Verdana">
    <w:altName w:val="Verdana"/>
    <w:panose1 w:val="020b0604030005040204"/>
    <w:charset w:val="00"/>
    <w:family w:val="swiss"/>
    <w:pitch w:val="variable"/>
    <w:sig w:usb0="A10006FF" w:usb1="4000205B" w:usb2="00000010" w:usb3="00000000" w:csb0="0000019F" w:csb1="00000000"/>
  </w:font>
  <w:font w:name="Cambria">
    <w:altName w:val="Cambria"/>
    <w:panose1 w:val="02040503050004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00000008"/>
    <w:lvl w:ilvl="0">
      <w:start w:val="1"/>
      <w:numFmt w:val="bullet"/>
      <w:lvlText w:val=""/>
      <w:lvlJc w:val="left"/>
      <w:pPr>
        <w:tabs>
          <w:tab w:val="left" w:leader="none" w:pos="720"/>
        </w:tabs>
        <w:ind w:left="720" w:hanging="360"/>
      </w:pPr>
      <w:rPr>
        <w:rFonts w:ascii="Wingdings" w:cs="Wingdings" w:hAnsi="Wingdings" w:hint="default"/>
        <w:lang w:eastAsia="es-US"/>
      </w:r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64"/>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s-ES" w:bidi="ar-SA" w:eastAsia="en-US"/>
      </w:rPr>
    </w:rPrDefault>
    <w:pPrDefault>
      <w:pPr>
        <w:spacing w:after="200" w:lineRule="auto" w:line="276"/>
      </w:pPr>
    </w:pPrDefault>
  </w:docDefaults>
  <w:style w:type="paragraph" w:default="1" w:styleId="style0">
    <w:name w:val="Normal"/>
    <w:next w:val="style0"/>
    <w:qFormat/>
    <w:pPr>
      <w:spacing w:after="0" w:lineRule="auto" w:line="240"/>
    </w:pPr>
    <w:rPr>
      <w:rFonts w:ascii="Times New Roman" w:cs="Times New Roman" w:eastAsia="Times New Roman" w:hAnsi="Times New Roman"/>
      <w:sz w:val="24"/>
      <w:szCs w:val="24"/>
      <w:lang w:eastAsia="es-ES"/>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94">
    <w:name w:val="Normal (Web)"/>
    <w:basedOn w:val="style0"/>
    <w:next w:val="style94"/>
    <w:qFormat/>
    <w:pPr>
      <w:spacing w:before="100" w:beforeAutospacing="true" w:after="100" w:afterAutospacing="true"/>
    </w:pPr>
    <w:rPr/>
  </w:style>
</w:styles>
</file>

<file path=word/_rels/document.xml.rels><?xml version="1.0" encoding="UTF-8"?>
<Relationships xmlns="http://schemas.openxmlformats.org/package/2006/relationships"><Relationship Id="rId2" Type="http://schemas.openxmlformats.org/officeDocument/2006/relationships/styles" Target="styles.xml"/><Relationship Id="rId3"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numbering" Target="numbering.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Words>2382</Words>
  <Pages>10</Pages>
  <Characters>13484</Characters>
  <Application>WPS Office</Application>
  <DocSecurity>0</DocSecurity>
  <Paragraphs>273</Paragraphs>
  <ScaleCrop>false</ScaleCrop>
  <LinksUpToDate>false</LinksUpToDate>
  <CharactersWithSpaces>15711</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2024-05-19T15:20:00Z</dcterms:created>
  <dc:creator>emilio</dc:creator>
  <lastModifiedBy>SM-J510FN</lastModifiedBy>
  <dcterms:modified xsi:type="dcterms:W3CDTF">2024-05-19T18:33:42Z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35cabb60ff8d43bd81505423a6ed64fd</vt:lpwstr>
  </property>
</Properties>
</file>