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819" w:rsidRPr="006F567E" w:rsidRDefault="00C43819" w:rsidP="006F567E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F567E">
        <w:rPr>
          <w:rFonts w:ascii="Arial" w:hAnsi="Arial" w:cs="Arial"/>
          <w:b/>
          <w:bCs/>
          <w:sz w:val="24"/>
          <w:szCs w:val="24"/>
        </w:rPr>
        <w:t xml:space="preserve">Riesgos  con el uso de la </w:t>
      </w:r>
      <w:proofErr w:type="spellStart"/>
      <w:r w:rsidRPr="006F567E">
        <w:rPr>
          <w:rFonts w:ascii="Arial" w:hAnsi="Arial" w:cs="Arial"/>
          <w:b/>
          <w:bCs/>
          <w:sz w:val="24"/>
          <w:szCs w:val="24"/>
        </w:rPr>
        <w:t>Dipirona</w:t>
      </w:r>
      <w:proofErr w:type="spellEnd"/>
      <w:r w:rsidRPr="006F567E">
        <w:rPr>
          <w:rFonts w:ascii="Arial" w:hAnsi="Arial" w:cs="Arial"/>
          <w:b/>
          <w:bCs/>
          <w:sz w:val="24"/>
          <w:szCs w:val="24"/>
        </w:rPr>
        <w:t xml:space="preserve">, en el desarrollo de </w:t>
      </w:r>
      <w:proofErr w:type="spellStart"/>
      <w:r w:rsidRPr="006F567E">
        <w:rPr>
          <w:rFonts w:ascii="Arial" w:hAnsi="Arial" w:cs="Arial"/>
          <w:b/>
          <w:bCs/>
          <w:sz w:val="24"/>
          <w:szCs w:val="24"/>
        </w:rPr>
        <w:t>Agranulocitosis</w:t>
      </w:r>
      <w:proofErr w:type="spellEnd"/>
      <w:r w:rsidRPr="006F567E">
        <w:rPr>
          <w:rFonts w:ascii="Arial" w:hAnsi="Arial" w:cs="Arial"/>
          <w:b/>
          <w:bCs/>
          <w:sz w:val="24"/>
          <w:szCs w:val="24"/>
        </w:rPr>
        <w:t>.</w:t>
      </w:r>
    </w:p>
    <w:p w:rsidR="00C43819" w:rsidRPr="006F567E" w:rsidRDefault="00C43819" w:rsidP="006F567E">
      <w:pPr>
        <w:spacing w:line="240" w:lineRule="auto"/>
        <w:jc w:val="both"/>
        <w:rPr>
          <w:rFonts w:ascii="Arial" w:hAnsi="Arial" w:cs="Arial"/>
          <w:lang w:val="en-US"/>
        </w:rPr>
      </w:pPr>
      <w:proofErr w:type="spellStart"/>
      <w:proofErr w:type="gramStart"/>
      <w:r w:rsidRPr="006F567E">
        <w:rPr>
          <w:rFonts w:ascii="Arial" w:hAnsi="Arial" w:cs="Arial"/>
          <w:lang w:val="en-US"/>
        </w:rPr>
        <w:t>Agranulocytosis</w:t>
      </w:r>
      <w:proofErr w:type="spellEnd"/>
      <w:r w:rsidRPr="006F567E">
        <w:rPr>
          <w:rFonts w:ascii="Arial" w:hAnsi="Arial" w:cs="Arial"/>
          <w:lang w:val="en-US"/>
        </w:rPr>
        <w:t xml:space="preserve">  risk</w:t>
      </w:r>
      <w:proofErr w:type="gramEnd"/>
      <w:r w:rsidRPr="006F567E">
        <w:rPr>
          <w:rFonts w:ascii="Arial" w:hAnsi="Arial" w:cs="Arial"/>
          <w:lang w:val="en-US"/>
        </w:rPr>
        <w:t xml:space="preserve"> during use of </w:t>
      </w:r>
      <w:proofErr w:type="spellStart"/>
      <w:r w:rsidRPr="006F567E">
        <w:rPr>
          <w:rFonts w:ascii="Arial" w:hAnsi="Arial" w:cs="Arial"/>
          <w:lang w:val="en-US"/>
        </w:rPr>
        <w:t>Dipyrone</w:t>
      </w:r>
      <w:proofErr w:type="spellEnd"/>
      <w:r w:rsidRPr="006F567E">
        <w:rPr>
          <w:rFonts w:ascii="Arial" w:hAnsi="Arial" w:cs="Arial"/>
          <w:lang w:val="en-US"/>
        </w:rPr>
        <w:t>.</w:t>
      </w:r>
    </w:p>
    <w:p w:rsidR="00981C8A" w:rsidRDefault="00981C8A" w:rsidP="006F567E">
      <w:pPr>
        <w:spacing w:line="240" w:lineRule="auto"/>
        <w:jc w:val="both"/>
        <w:rPr>
          <w:rFonts w:ascii="Arial" w:hAnsi="Arial" w:cs="Arial"/>
          <w:lang w:val="pt-BR"/>
        </w:rPr>
      </w:pPr>
    </w:p>
    <w:p w:rsidR="00981C8A" w:rsidRDefault="00C43819" w:rsidP="006F567E">
      <w:pPr>
        <w:spacing w:line="240" w:lineRule="auto"/>
        <w:jc w:val="both"/>
        <w:rPr>
          <w:rFonts w:ascii="Arial" w:hAnsi="Arial" w:cs="Arial"/>
          <w:lang w:val="pt-BR"/>
        </w:rPr>
      </w:pPr>
      <w:proofErr w:type="spellStart"/>
      <w:r w:rsidRPr="006D03D6">
        <w:rPr>
          <w:rFonts w:ascii="Arial" w:hAnsi="Arial" w:cs="Arial"/>
          <w:lang w:val="pt-BR"/>
        </w:rPr>
        <w:t>Yanet</w:t>
      </w:r>
      <w:proofErr w:type="spellEnd"/>
      <w:r w:rsidRPr="006D03D6">
        <w:rPr>
          <w:rFonts w:ascii="Arial" w:hAnsi="Arial" w:cs="Arial"/>
          <w:lang w:val="pt-BR"/>
        </w:rPr>
        <w:t xml:space="preserve"> </w:t>
      </w:r>
      <w:proofErr w:type="spellStart"/>
      <w:r w:rsidRPr="006D03D6">
        <w:rPr>
          <w:rFonts w:ascii="Arial" w:hAnsi="Arial" w:cs="Arial"/>
          <w:lang w:val="pt-BR"/>
        </w:rPr>
        <w:t>Córdova</w:t>
      </w:r>
      <w:proofErr w:type="spellEnd"/>
      <w:r w:rsidRPr="006D03D6">
        <w:rPr>
          <w:rFonts w:ascii="Arial" w:hAnsi="Arial" w:cs="Arial"/>
          <w:lang w:val="pt-BR"/>
        </w:rPr>
        <w:t xml:space="preserve"> Escobar.</w:t>
      </w:r>
      <w:r w:rsidR="00981C8A">
        <w:rPr>
          <w:rFonts w:ascii="Arial" w:hAnsi="Arial" w:cs="Arial"/>
          <w:lang w:val="pt-BR"/>
        </w:rPr>
        <w:t xml:space="preserve"> </w:t>
      </w:r>
      <w:hyperlink r:id="rId7" w:history="1">
        <w:r w:rsidR="00981C8A" w:rsidRPr="000C354B">
          <w:rPr>
            <w:rStyle w:val="Hipervnculo"/>
            <w:rFonts w:ascii="Arial" w:hAnsi="Arial" w:cs="Arial"/>
            <w:lang w:val="pt-BR"/>
          </w:rPr>
          <w:t>https://orcid.org/0000-0002-7212-1130</w:t>
        </w:r>
      </w:hyperlink>
      <w:r w:rsidR="00981C8A">
        <w:rPr>
          <w:rFonts w:ascii="Arial" w:hAnsi="Arial" w:cs="Arial"/>
          <w:lang w:val="pt-BR"/>
        </w:rPr>
        <w:t xml:space="preserve"> </w:t>
      </w:r>
    </w:p>
    <w:p w:rsidR="00981C8A" w:rsidRDefault="00981C8A" w:rsidP="006F567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t xml:space="preserve"> </w:t>
      </w:r>
      <w:proofErr w:type="spellStart"/>
      <w:r w:rsidR="00C43819" w:rsidRPr="006F567E">
        <w:rPr>
          <w:rFonts w:ascii="Arial" w:hAnsi="Arial" w:cs="Arial"/>
        </w:rPr>
        <w:t>Gisel</w:t>
      </w:r>
      <w:proofErr w:type="spellEnd"/>
      <w:r w:rsidR="00C43819" w:rsidRPr="006F567E">
        <w:rPr>
          <w:rFonts w:ascii="Arial" w:hAnsi="Arial" w:cs="Arial"/>
        </w:rPr>
        <w:t xml:space="preserve"> Palacio</w:t>
      </w:r>
      <w:r w:rsidR="00C43819">
        <w:rPr>
          <w:rFonts w:ascii="Arial" w:hAnsi="Arial" w:cs="Arial"/>
        </w:rPr>
        <w:t xml:space="preserve"> Rojas</w:t>
      </w:r>
      <w:r w:rsidR="00C43819" w:rsidRPr="006F567E">
        <w:rPr>
          <w:rFonts w:ascii="Arial" w:hAnsi="Arial" w:cs="Arial"/>
        </w:rPr>
        <w:t>.</w:t>
      </w:r>
      <w:r w:rsidRPr="00981C8A">
        <w:t xml:space="preserve"> </w:t>
      </w:r>
      <w:hyperlink r:id="rId8" w:history="1">
        <w:r w:rsidRPr="000C354B">
          <w:rPr>
            <w:rStyle w:val="Hipervnculo"/>
            <w:rFonts w:ascii="Arial" w:hAnsi="Arial" w:cs="Arial"/>
          </w:rPr>
          <w:t>https://orcid.org/0000-0001-6742-8448</w:t>
        </w:r>
      </w:hyperlink>
      <w:r>
        <w:rPr>
          <w:rFonts w:ascii="Arial" w:hAnsi="Arial" w:cs="Arial"/>
        </w:rPr>
        <w:t xml:space="preserve"> </w:t>
      </w:r>
    </w:p>
    <w:p w:rsidR="00981C8A" w:rsidRDefault="00C43819" w:rsidP="006F567E">
      <w:pPr>
        <w:spacing w:line="240" w:lineRule="auto"/>
        <w:jc w:val="both"/>
        <w:rPr>
          <w:rFonts w:ascii="Arial" w:hAnsi="Arial" w:cs="Arial"/>
        </w:rPr>
      </w:pPr>
      <w:r w:rsidRPr="006F56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Ernesto Ricardo Durán</w:t>
      </w:r>
      <w:r w:rsidR="00981C8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hyperlink r:id="rId9" w:history="1">
        <w:r w:rsidR="00981C8A" w:rsidRPr="000C354B">
          <w:rPr>
            <w:rStyle w:val="Hipervnculo"/>
            <w:rFonts w:ascii="Arial" w:hAnsi="Arial" w:cs="Arial"/>
          </w:rPr>
          <w:t>https://orcid.org/0000-0002-5576-8127</w:t>
        </w:r>
      </w:hyperlink>
      <w:r w:rsidR="00981C8A">
        <w:rPr>
          <w:rFonts w:ascii="Arial" w:hAnsi="Arial" w:cs="Arial"/>
        </w:rPr>
        <w:t xml:space="preserve"> </w:t>
      </w:r>
    </w:p>
    <w:p w:rsidR="00C43819" w:rsidRDefault="00C43819" w:rsidP="006F567E">
      <w:p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Anica</w:t>
      </w:r>
      <w:proofErr w:type="spellEnd"/>
      <w:r>
        <w:rPr>
          <w:rFonts w:ascii="Arial" w:hAnsi="Arial" w:cs="Arial"/>
        </w:rPr>
        <w:t xml:space="preserve"> González Ruíz</w:t>
      </w:r>
      <w:r w:rsidR="00981C8A">
        <w:rPr>
          <w:rFonts w:ascii="Arial" w:hAnsi="Arial" w:cs="Arial"/>
        </w:rPr>
        <w:t xml:space="preserve">. </w:t>
      </w:r>
      <w:hyperlink r:id="rId10" w:history="1">
        <w:r w:rsidR="00981C8A" w:rsidRPr="000C354B">
          <w:rPr>
            <w:rStyle w:val="Hipervnculo"/>
            <w:rFonts w:ascii="Arial" w:hAnsi="Arial" w:cs="Arial"/>
          </w:rPr>
          <w:t>https://orcid.org/0000-0002-5688-5448</w:t>
        </w:r>
      </w:hyperlink>
      <w:r w:rsidR="00981C8A">
        <w:rPr>
          <w:rFonts w:ascii="Arial" w:hAnsi="Arial" w:cs="Arial"/>
        </w:rPr>
        <w:t xml:space="preserve"> </w:t>
      </w:r>
    </w:p>
    <w:p w:rsidR="00981C8A" w:rsidRPr="006F567E" w:rsidRDefault="00981C8A" w:rsidP="006F567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Julio Duran </w:t>
      </w:r>
      <w:bookmarkStart w:id="0" w:name="_GoBack"/>
      <w:bookmarkEnd w:id="0"/>
      <w:r>
        <w:rPr>
          <w:rFonts w:ascii="Arial" w:hAnsi="Arial" w:cs="Arial"/>
        </w:rPr>
        <w:t xml:space="preserve">Cruz. </w:t>
      </w:r>
      <w:hyperlink r:id="rId11" w:history="1">
        <w:r w:rsidRPr="000C354B">
          <w:rPr>
            <w:rStyle w:val="Hipervnculo"/>
            <w:rFonts w:ascii="Arial" w:hAnsi="Arial" w:cs="Arial"/>
          </w:rPr>
          <w:t>https://orcid.org/0000-0001-7679-0115</w:t>
        </w:r>
      </w:hyperlink>
      <w:r>
        <w:rPr>
          <w:rFonts w:ascii="Arial" w:hAnsi="Arial" w:cs="Arial"/>
        </w:rPr>
        <w:t xml:space="preserve"> </w:t>
      </w:r>
    </w:p>
    <w:p w:rsidR="00981C8A" w:rsidRDefault="00981C8A" w:rsidP="007B4586">
      <w:pPr>
        <w:tabs>
          <w:tab w:val="left" w:pos="1424"/>
        </w:tabs>
        <w:spacing w:line="240" w:lineRule="auto"/>
        <w:jc w:val="both"/>
        <w:rPr>
          <w:rFonts w:ascii="Arial" w:hAnsi="Arial" w:cs="Arial"/>
          <w:b/>
          <w:bCs/>
        </w:rPr>
      </w:pPr>
    </w:p>
    <w:p w:rsidR="00C43819" w:rsidRDefault="00C43819" w:rsidP="007B4586">
      <w:pPr>
        <w:tabs>
          <w:tab w:val="left" w:pos="1424"/>
        </w:tabs>
        <w:spacing w:line="240" w:lineRule="auto"/>
        <w:jc w:val="both"/>
        <w:rPr>
          <w:rFonts w:ascii="Arial" w:hAnsi="Arial" w:cs="Arial"/>
          <w:b/>
          <w:bCs/>
        </w:rPr>
      </w:pPr>
      <w:r w:rsidRPr="006F567E">
        <w:rPr>
          <w:rFonts w:ascii="Arial" w:hAnsi="Arial" w:cs="Arial"/>
          <w:b/>
          <w:bCs/>
        </w:rPr>
        <w:t>Resumen.</w:t>
      </w:r>
      <w:r w:rsidRPr="006F567E">
        <w:rPr>
          <w:rFonts w:ascii="Arial" w:hAnsi="Arial" w:cs="Arial"/>
          <w:b/>
          <w:bCs/>
        </w:rPr>
        <w:tab/>
      </w:r>
    </w:p>
    <w:p w:rsidR="00C43819" w:rsidRPr="006D03D6" w:rsidRDefault="00C43819" w:rsidP="006D03D6">
      <w:pPr>
        <w:tabs>
          <w:tab w:val="left" w:pos="142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03D6">
        <w:rPr>
          <w:rFonts w:ascii="Arial" w:hAnsi="Arial" w:cs="Arial"/>
          <w:sz w:val="24"/>
          <w:szCs w:val="24"/>
        </w:rPr>
        <w:t xml:space="preserve">Desde comienzos del siglo pasado, la </w:t>
      </w:r>
      <w:proofErr w:type="spellStart"/>
      <w:r w:rsidRPr="006D03D6">
        <w:rPr>
          <w:rFonts w:ascii="Arial" w:hAnsi="Arial" w:cs="Arial"/>
          <w:sz w:val="24"/>
          <w:szCs w:val="24"/>
        </w:rPr>
        <w:t>Dipirona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ha sido relacionada con el desarrollo de </w:t>
      </w:r>
      <w:proofErr w:type="spellStart"/>
      <w:r w:rsidRPr="006D03D6">
        <w:rPr>
          <w:rFonts w:ascii="Arial" w:hAnsi="Arial" w:cs="Arial"/>
          <w:sz w:val="24"/>
          <w:szCs w:val="24"/>
        </w:rPr>
        <w:t>agranulo-citosis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. Algunos países han evitado su comercialización como EEUU, Inglaterra, Suecia, </w:t>
      </w:r>
      <w:proofErr w:type="spellStart"/>
      <w:r w:rsidRPr="006D03D6">
        <w:rPr>
          <w:rFonts w:ascii="Arial" w:hAnsi="Arial" w:cs="Arial"/>
          <w:sz w:val="24"/>
          <w:szCs w:val="24"/>
        </w:rPr>
        <w:t>Australiay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otros en cambio la han seguido usando ampliamente como España, Polonia, Israel, Italia, </w:t>
      </w:r>
      <w:proofErr w:type="spellStart"/>
      <w:r w:rsidRPr="006D03D6">
        <w:rPr>
          <w:rFonts w:ascii="Arial" w:hAnsi="Arial" w:cs="Arial"/>
          <w:sz w:val="24"/>
          <w:szCs w:val="24"/>
        </w:rPr>
        <w:t>Brasil</w:t>
      </w:r>
      <w:proofErr w:type="gramStart"/>
      <w:r w:rsidRPr="006D03D6">
        <w:rPr>
          <w:rFonts w:ascii="Arial" w:hAnsi="Arial" w:cs="Arial"/>
          <w:sz w:val="24"/>
          <w:szCs w:val="24"/>
        </w:rPr>
        <w:t>,Chile</w:t>
      </w:r>
      <w:proofErr w:type="spellEnd"/>
      <w:proofErr w:type="gramEnd"/>
      <w:r w:rsidRPr="006D03D6">
        <w:rPr>
          <w:rFonts w:ascii="Arial" w:hAnsi="Arial" w:cs="Arial"/>
          <w:sz w:val="24"/>
          <w:szCs w:val="24"/>
        </w:rPr>
        <w:t xml:space="preserve"> etc. La evidencia recopilada a lo largo de estas décadas frente a este tema ha sido </w:t>
      </w:r>
      <w:proofErr w:type="spellStart"/>
      <w:r w:rsidRPr="006D03D6">
        <w:rPr>
          <w:rFonts w:ascii="Arial" w:hAnsi="Arial" w:cs="Arial"/>
          <w:sz w:val="24"/>
          <w:szCs w:val="24"/>
        </w:rPr>
        <w:t>controver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-sial. El riesgo estimado de padecer esta discrasia sanguínea va desde 1 en 300 usuarios hasta 1 en1 millón a una semana de uso según diferentes estudios. En Latinoamérica la </w:t>
      </w:r>
      <w:proofErr w:type="spellStart"/>
      <w:r w:rsidRPr="006D03D6">
        <w:rPr>
          <w:rFonts w:ascii="Arial" w:hAnsi="Arial" w:cs="Arial"/>
          <w:sz w:val="24"/>
          <w:szCs w:val="24"/>
        </w:rPr>
        <w:t>Dipirona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es </w:t>
      </w:r>
      <w:proofErr w:type="spellStart"/>
      <w:r w:rsidRPr="006D03D6">
        <w:rPr>
          <w:rFonts w:ascii="Arial" w:hAnsi="Arial" w:cs="Arial"/>
          <w:sz w:val="24"/>
          <w:szCs w:val="24"/>
        </w:rPr>
        <w:t>usadacon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frecuencia, sin embargo la incidencia de </w:t>
      </w:r>
      <w:proofErr w:type="spellStart"/>
      <w:r w:rsidRPr="006D03D6">
        <w:rPr>
          <w:rFonts w:ascii="Arial" w:hAnsi="Arial" w:cs="Arial"/>
          <w:sz w:val="24"/>
          <w:szCs w:val="24"/>
        </w:rPr>
        <w:t>agranulocitosis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reportada sigue siendo baja. En </w:t>
      </w:r>
      <w:proofErr w:type="spellStart"/>
      <w:r w:rsidRPr="006D03D6">
        <w:rPr>
          <w:rFonts w:ascii="Arial" w:hAnsi="Arial" w:cs="Arial"/>
          <w:sz w:val="24"/>
          <w:szCs w:val="24"/>
        </w:rPr>
        <w:t>lapresente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revisión, se expone la evidencia de </w:t>
      </w:r>
      <w:proofErr w:type="spellStart"/>
      <w:r w:rsidRPr="006D03D6">
        <w:rPr>
          <w:rFonts w:ascii="Arial" w:hAnsi="Arial" w:cs="Arial"/>
          <w:sz w:val="24"/>
          <w:szCs w:val="24"/>
        </w:rPr>
        <w:t>agranulocitosis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por el uso de </w:t>
      </w:r>
      <w:proofErr w:type="spellStart"/>
      <w:proofErr w:type="gramStart"/>
      <w:r w:rsidRPr="006D03D6">
        <w:rPr>
          <w:rFonts w:ascii="Arial" w:hAnsi="Arial" w:cs="Arial"/>
          <w:sz w:val="24"/>
          <w:szCs w:val="24"/>
        </w:rPr>
        <w:t>dipirona</w:t>
      </w:r>
      <w:proofErr w:type="spellEnd"/>
      <w:proofErr w:type="gramEnd"/>
      <w:r w:rsidRPr="006D03D6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6D03D6">
        <w:rPr>
          <w:rFonts w:ascii="Arial" w:hAnsi="Arial" w:cs="Arial"/>
          <w:sz w:val="24"/>
          <w:szCs w:val="24"/>
        </w:rPr>
        <w:t>diferentespaíses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, así como los mecanismos fisiopatológicos que explican hasta el momento la aparición de </w:t>
      </w:r>
      <w:proofErr w:type="spellStart"/>
      <w:r w:rsidRPr="006D03D6">
        <w:rPr>
          <w:rFonts w:ascii="Arial" w:hAnsi="Arial" w:cs="Arial"/>
          <w:sz w:val="24"/>
          <w:szCs w:val="24"/>
        </w:rPr>
        <w:t>agranulocitosis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por </w:t>
      </w:r>
      <w:proofErr w:type="spellStart"/>
      <w:r w:rsidRPr="006D03D6">
        <w:rPr>
          <w:rFonts w:ascii="Arial" w:hAnsi="Arial" w:cs="Arial"/>
          <w:sz w:val="24"/>
          <w:szCs w:val="24"/>
        </w:rPr>
        <w:t>dipirona</w:t>
      </w:r>
      <w:proofErr w:type="spellEnd"/>
      <w:r w:rsidRPr="006D03D6">
        <w:rPr>
          <w:rFonts w:ascii="Arial" w:hAnsi="Arial" w:cs="Arial"/>
          <w:sz w:val="24"/>
          <w:szCs w:val="24"/>
        </w:rPr>
        <w:t>.</w:t>
      </w:r>
    </w:p>
    <w:p w:rsidR="00C43819" w:rsidRPr="006D03D6" w:rsidRDefault="00C43819" w:rsidP="006D03D6">
      <w:pPr>
        <w:tabs>
          <w:tab w:val="left" w:pos="142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B3DDF">
        <w:rPr>
          <w:rFonts w:ascii="Arial" w:hAnsi="Arial" w:cs="Arial"/>
          <w:b/>
          <w:bCs/>
          <w:i/>
          <w:iCs/>
          <w:sz w:val="24"/>
          <w:szCs w:val="24"/>
        </w:rPr>
        <w:t>DeCs</w:t>
      </w:r>
      <w:proofErr w:type="spellEnd"/>
      <w:r w:rsidRPr="006D03D6">
        <w:rPr>
          <w:rFonts w:ascii="Arial" w:hAnsi="Arial" w:cs="Arial"/>
          <w:b/>
          <w:bCs/>
          <w:sz w:val="24"/>
          <w:szCs w:val="24"/>
        </w:rPr>
        <w:t xml:space="preserve">: </w:t>
      </w:r>
      <w:proofErr w:type="spellStart"/>
      <w:r w:rsidRPr="006D03D6">
        <w:rPr>
          <w:rFonts w:ascii="Arial" w:hAnsi="Arial" w:cs="Arial"/>
          <w:sz w:val="24"/>
          <w:szCs w:val="24"/>
        </w:rPr>
        <w:t>Dipirona</w:t>
      </w:r>
      <w:proofErr w:type="gramStart"/>
      <w:r w:rsidRPr="006D03D6">
        <w:rPr>
          <w:rFonts w:ascii="Arial" w:hAnsi="Arial" w:cs="Arial"/>
          <w:sz w:val="24"/>
          <w:szCs w:val="24"/>
        </w:rPr>
        <w:t>,metamizol</w:t>
      </w:r>
      <w:proofErr w:type="spellEnd"/>
      <w:proofErr w:type="gramEnd"/>
      <w:r w:rsidRPr="006D03D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03D6">
        <w:rPr>
          <w:rFonts w:ascii="Arial" w:hAnsi="Arial" w:cs="Arial"/>
          <w:sz w:val="24"/>
          <w:szCs w:val="24"/>
        </w:rPr>
        <w:t>agranulocitosis</w:t>
      </w:r>
      <w:proofErr w:type="spellEnd"/>
      <w:r w:rsidRPr="006D03D6">
        <w:rPr>
          <w:rFonts w:ascii="Arial" w:hAnsi="Arial" w:cs="Arial"/>
          <w:sz w:val="24"/>
          <w:szCs w:val="24"/>
        </w:rPr>
        <w:t>.</w:t>
      </w:r>
    </w:p>
    <w:p w:rsidR="00C43819" w:rsidRPr="003B3DDF" w:rsidRDefault="00981C8A" w:rsidP="006D03D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Abstract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03D6">
        <w:rPr>
          <w:rFonts w:ascii="Arial" w:hAnsi="Arial" w:cs="Arial"/>
          <w:sz w:val="24"/>
          <w:szCs w:val="24"/>
          <w:lang w:val="en-US"/>
        </w:rPr>
        <w:t xml:space="preserve">Since last century,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dipyrone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has been related to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agranulocytosis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development. Some countries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havetakendipyrone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off the market, like United States of America, England, Sweden and Australia, and some others keep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comercializing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it widely, like Spain, Poland, Israel, Italy, Brazil and Chile. Accumulated evidence during past decades around this </w:t>
      </w:r>
      <w:proofErr w:type="gramStart"/>
      <w:r w:rsidRPr="006D03D6">
        <w:rPr>
          <w:rFonts w:ascii="Arial" w:hAnsi="Arial" w:cs="Arial"/>
          <w:sz w:val="24"/>
          <w:szCs w:val="24"/>
          <w:lang w:val="en-US"/>
        </w:rPr>
        <w:t>topic,</w:t>
      </w:r>
      <w:proofErr w:type="gramEnd"/>
      <w:r w:rsidRPr="006D03D6">
        <w:rPr>
          <w:rFonts w:ascii="Arial" w:hAnsi="Arial" w:cs="Arial"/>
          <w:sz w:val="24"/>
          <w:szCs w:val="24"/>
          <w:lang w:val="en-US"/>
        </w:rPr>
        <w:t xml:space="preserve"> has been controversial.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Agranulocytosis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risk varies from 1 in 300 patients to 1 in 1 million patients, according different reports. In Latin America,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Dipyrone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</w:t>
      </w:r>
      <w:r w:rsidRPr="006D03D6">
        <w:rPr>
          <w:rFonts w:ascii="Arial" w:hAnsi="Arial" w:cs="Arial"/>
          <w:sz w:val="24"/>
          <w:szCs w:val="24"/>
          <w:lang w:val="en-US"/>
        </w:rPr>
        <w:lastRenderedPageBreak/>
        <w:t xml:space="preserve">is frequently used, nevertheless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agranulocytosis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incidence remains low. In this paper, evidence of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agranulocytosis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development as a result of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dipyrone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use around the world is exposed, as well as the main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physiopathological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mechanisms for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agranulocytosis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derivative from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dipyrone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use.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3B3DDF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DeCs</w:t>
      </w:r>
      <w:proofErr w:type="spellEnd"/>
      <w:r w:rsidRPr="006D03D6">
        <w:rPr>
          <w:rFonts w:ascii="Arial" w:hAnsi="Arial" w:cs="Arial"/>
          <w:b/>
          <w:bCs/>
          <w:sz w:val="24"/>
          <w:szCs w:val="24"/>
          <w:lang w:val="en-US"/>
        </w:rPr>
        <w:t>: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Dipyrone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metamizole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agranulocytosis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>.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D03D6">
        <w:rPr>
          <w:rFonts w:ascii="Arial" w:hAnsi="Arial" w:cs="Arial"/>
          <w:b/>
          <w:bCs/>
          <w:sz w:val="24"/>
          <w:szCs w:val="24"/>
        </w:rPr>
        <w:t>USO DE LA DIPIRONA O METAMIZOL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03D6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6D03D6">
        <w:rPr>
          <w:rFonts w:ascii="Arial" w:hAnsi="Arial" w:cs="Arial"/>
          <w:sz w:val="24"/>
          <w:szCs w:val="24"/>
        </w:rPr>
        <w:t>Dipirona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o el </w:t>
      </w:r>
      <w:proofErr w:type="spellStart"/>
      <w:r w:rsidRPr="006D03D6">
        <w:rPr>
          <w:rFonts w:ascii="Arial" w:hAnsi="Arial" w:cs="Arial"/>
          <w:sz w:val="24"/>
          <w:szCs w:val="24"/>
        </w:rPr>
        <w:t>Metamizol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es un derivado de la </w:t>
      </w:r>
      <w:proofErr w:type="spellStart"/>
      <w:r w:rsidRPr="006D03D6">
        <w:rPr>
          <w:rFonts w:ascii="Arial" w:hAnsi="Arial" w:cs="Arial"/>
          <w:sz w:val="24"/>
          <w:szCs w:val="24"/>
        </w:rPr>
        <w:t>pirazolona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, dentro del grupo de los AINES, </w:t>
      </w:r>
      <w:proofErr w:type="spellStart"/>
      <w:r w:rsidRPr="006D03D6">
        <w:rPr>
          <w:rFonts w:ascii="Arial" w:hAnsi="Arial" w:cs="Arial"/>
          <w:sz w:val="24"/>
          <w:szCs w:val="24"/>
        </w:rPr>
        <w:t>comezó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a producirse y comercializar en  la década del 20 del pasado siglo.</w:t>
      </w:r>
      <w:r w:rsidRPr="006D03D6">
        <w:rPr>
          <w:rFonts w:ascii="Arial" w:hAnsi="Arial" w:cs="Arial"/>
          <w:sz w:val="24"/>
          <w:szCs w:val="24"/>
          <w:vertAlign w:val="superscript"/>
        </w:rPr>
        <w:t>1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03D6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6D03D6">
        <w:rPr>
          <w:rFonts w:ascii="Arial" w:hAnsi="Arial" w:cs="Arial"/>
          <w:sz w:val="24"/>
          <w:szCs w:val="24"/>
        </w:rPr>
        <w:t>aminopirina</w:t>
      </w:r>
      <w:proofErr w:type="gramStart"/>
      <w:r w:rsidRPr="006D03D6">
        <w:rPr>
          <w:rFonts w:ascii="Arial" w:hAnsi="Arial" w:cs="Arial"/>
          <w:sz w:val="24"/>
          <w:szCs w:val="24"/>
        </w:rPr>
        <w:t>,su</w:t>
      </w:r>
      <w:proofErr w:type="spellEnd"/>
      <w:proofErr w:type="gramEnd"/>
      <w:r w:rsidRPr="006D03D6">
        <w:rPr>
          <w:rFonts w:ascii="Arial" w:hAnsi="Arial" w:cs="Arial"/>
          <w:sz w:val="24"/>
          <w:szCs w:val="24"/>
        </w:rPr>
        <w:t xml:space="preserve"> precursor, fue descubierta en Alemania en el siglo XIX y se comercializó con éxito desde 1890 hasta 1930 cuando comenzaron a aparecer los primeros reportes de su asociación con el desarrollo de agranulocitosis.</w:t>
      </w:r>
      <w:r w:rsidRPr="006D03D6">
        <w:rPr>
          <w:rFonts w:ascii="Arial" w:hAnsi="Arial" w:cs="Arial"/>
          <w:sz w:val="24"/>
          <w:szCs w:val="24"/>
          <w:vertAlign w:val="superscript"/>
        </w:rPr>
        <w:t>2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03D6">
        <w:rPr>
          <w:rFonts w:ascii="Arial" w:hAnsi="Arial" w:cs="Arial"/>
          <w:sz w:val="24"/>
          <w:szCs w:val="24"/>
        </w:rPr>
        <w:t xml:space="preserve">Pese a que la </w:t>
      </w:r>
      <w:proofErr w:type="spellStart"/>
      <w:r w:rsidRPr="006D03D6">
        <w:rPr>
          <w:rFonts w:ascii="Arial" w:hAnsi="Arial" w:cs="Arial"/>
          <w:sz w:val="24"/>
          <w:szCs w:val="24"/>
        </w:rPr>
        <w:t>aminopirina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ha sido descontinuada mundialmente, la </w:t>
      </w:r>
      <w:proofErr w:type="spellStart"/>
      <w:r w:rsidRPr="006D03D6">
        <w:rPr>
          <w:rFonts w:ascii="Arial" w:hAnsi="Arial" w:cs="Arial"/>
          <w:sz w:val="24"/>
          <w:szCs w:val="24"/>
        </w:rPr>
        <w:t>Dipirona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en cambio sigue siendo usada con alta frecuencia en muchos países del mundo como Brasil, México, España, Alemania, Italia, Colombia y retirada en otros como Estados Unidos, Inglaterra, Finlandia, Arabia Saudita, Egipto y Venezuela </w:t>
      </w:r>
      <w:r w:rsidRPr="006D03D6">
        <w:rPr>
          <w:rFonts w:ascii="Arial" w:hAnsi="Arial" w:cs="Arial"/>
          <w:sz w:val="24"/>
          <w:szCs w:val="24"/>
          <w:vertAlign w:val="superscript"/>
        </w:rPr>
        <w:t>(5) .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D03D6">
        <w:rPr>
          <w:rFonts w:ascii="Arial" w:hAnsi="Arial" w:cs="Arial"/>
          <w:sz w:val="24"/>
          <w:szCs w:val="24"/>
        </w:rPr>
        <w:t>Farmacocineticamente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D03D6">
        <w:rPr>
          <w:rFonts w:ascii="Arial" w:hAnsi="Arial" w:cs="Arial"/>
          <w:sz w:val="24"/>
          <w:szCs w:val="24"/>
        </w:rPr>
        <w:t>Dipirona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puede ser considerada un </w:t>
      </w:r>
      <w:proofErr w:type="spellStart"/>
      <w:r w:rsidRPr="006D03D6">
        <w:rPr>
          <w:rFonts w:ascii="Arial" w:hAnsi="Arial" w:cs="Arial"/>
          <w:sz w:val="24"/>
          <w:szCs w:val="24"/>
        </w:rPr>
        <w:t>profármaco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por su rápida conversión a 4-metilaminoantipirina (4-MAA) durante su paso por la mucosa gástrica y posterior conversión de esta a 4-aminoantipirina (4-AA) secundario a un metabolismo de segunda fase por la n-</w:t>
      </w:r>
      <w:proofErr w:type="spellStart"/>
      <w:r w:rsidRPr="006D03D6">
        <w:rPr>
          <w:rFonts w:ascii="Arial" w:hAnsi="Arial" w:cs="Arial"/>
          <w:sz w:val="24"/>
          <w:szCs w:val="24"/>
        </w:rPr>
        <w:t>acetiltransferasa</w:t>
      </w:r>
      <w:proofErr w:type="spellEnd"/>
      <w:r w:rsidRPr="006D03D6">
        <w:rPr>
          <w:rFonts w:ascii="Arial" w:hAnsi="Arial" w:cs="Arial"/>
          <w:sz w:val="24"/>
          <w:szCs w:val="24"/>
          <w:vertAlign w:val="superscript"/>
        </w:rPr>
        <w:t xml:space="preserve"> 4</w:t>
      </w:r>
      <w:r w:rsidRPr="006D03D6">
        <w:rPr>
          <w:rFonts w:ascii="Arial" w:hAnsi="Arial" w:cs="Arial"/>
          <w:sz w:val="24"/>
          <w:szCs w:val="24"/>
        </w:rPr>
        <w:t xml:space="preserve"> , siendo ambos metabolitos farmacológicamente </w:t>
      </w:r>
      <w:proofErr w:type="spellStart"/>
      <w:r w:rsidRPr="006D03D6">
        <w:rPr>
          <w:rFonts w:ascii="Arial" w:hAnsi="Arial" w:cs="Arial"/>
          <w:sz w:val="24"/>
          <w:szCs w:val="24"/>
        </w:rPr>
        <w:t>activos;recientemente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se ha estudiado el papel de los citocromos CYP450 en la </w:t>
      </w:r>
      <w:proofErr w:type="spellStart"/>
      <w:r w:rsidRPr="006D03D6">
        <w:rPr>
          <w:rFonts w:ascii="Arial" w:hAnsi="Arial" w:cs="Arial"/>
          <w:sz w:val="24"/>
          <w:szCs w:val="24"/>
        </w:rPr>
        <w:t>biotransformación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6D03D6">
        <w:rPr>
          <w:rFonts w:ascii="Arial" w:hAnsi="Arial" w:cs="Arial"/>
          <w:sz w:val="24"/>
          <w:szCs w:val="24"/>
        </w:rPr>
        <w:t>Dipirona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con reporte de actividad para su metabolismo en el citocromo CYP 2C19 en la </w:t>
      </w:r>
      <w:proofErr w:type="spellStart"/>
      <w:r w:rsidRPr="006D03D6">
        <w:rPr>
          <w:rFonts w:ascii="Arial" w:hAnsi="Arial" w:cs="Arial"/>
          <w:sz w:val="24"/>
          <w:szCs w:val="24"/>
        </w:rPr>
        <w:t>demetilación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de 4-AA </w:t>
      </w:r>
      <w:r w:rsidRPr="006D03D6">
        <w:rPr>
          <w:rFonts w:ascii="Arial" w:hAnsi="Arial" w:cs="Arial"/>
          <w:sz w:val="24"/>
          <w:szCs w:val="24"/>
          <w:vertAlign w:val="superscript"/>
        </w:rPr>
        <w:t>(6)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D03D6">
        <w:rPr>
          <w:rFonts w:ascii="Arial" w:hAnsi="Arial" w:cs="Arial"/>
          <w:b/>
          <w:bCs/>
          <w:sz w:val="24"/>
          <w:szCs w:val="24"/>
          <w:u w:val="single"/>
        </w:rPr>
        <w:t xml:space="preserve">La </w:t>
      </w:r>
      <w:proofErr w:type="spellStart"/>
      <w:r w:rsidRPr="006D03D6">
        <w:rPr>
          <w:rFonts w:ascii="Arial" w:hAnsi="Arial" w:cs="Arial"/>
          <w:b/>
          <w:bCs/>
          <w:sz w:val="24"/>
          <w:szCs w:val="24"/>
          <w:u w:val="single"/>
        </w:rPr>
        <w:t>agranulocitosis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se describe como un síndrome hematológico raro, de comienzo agudo, idiosincrático, en el cual el número de neutrófilos circulantes cae rápidamente por debajo del límite normal (1500 neutrófilos/ml a menos de 500 neutrófilos/ ml) </w:t>
      </w:r>
      <w:proofErr w:type="gramStart"/>
      <w:r w:rsidRPr="006D03D6">
        <w:rPr>
          <w:rFonts w:ascii="Arial" w:hAnsi="Arial" w:cs="Arial"/>
          <w:sz w:val="24"/>
          <w:szCs w:val="24"/>
          <w:vertAlign w:val="superscript"/>
        </w:rPr>
        <w:t>12,13</w:t>
      </w:r>
      <w:r w:rsidRPr="006D03D6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6D03D6">
        <w:rPr>
          <w:rFonts w:ascii="Arial" w:hAnsi="Arial" w:cs="Arial"/>
          <w:sz w:val="24"/>
          <w:szCs w:val="24"/>
        </w:rPr>
        <w:t xml:space="preserve"> provocando un serio deterioro del sistema inmune aumentando los riesgos para padecer (incluso en la era post antibiótica) de enfermedades </w:t>
      </w:r>
      <w:proofErr w:type="spellStart"/>
      <w:r w:rsidRPr="006D03D6">
        <w:rPr>
          <w:rFonts w:ascii="Arial" w:hAnsi="Arial" w:cs="Arial"/>
          <w:sz w:val="24"/>
          <w:szCs w:val="24"/>
        </w:rPr>
        <w:t>bacterianasgraves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, a veces fatales </w:t>
      </w:r>
      <w:r w:rsidRPr="006D03D6">
        <w:rPr>
          <w:rFonts w:ascii="Arial" w:hAnsi="Arial" w:cs="Arial"/>
          <w:sz w:val="24"/>
          <w:szCs w:val="24"/>
          <w:vertAlign w:val="superscript"/>
        </w:rPr>
        <w:t xml:space="preserve">7 </w:t>
      </w:r>
      <w:r w:rsidRPr="006D03D6">
        <w:rPr>
          <w:rFonts w:ascii="Arial" w:hAnsi="Arial" w:cs="Arial"/>
          <w:sz w:val="24"/>
          <w:szCs w:val="24"/>
        </w:rPr>
        <w:t>.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03D6">
        <w:rPr>
          <w:rFonts w:ascii="Arial" w:hAnsi="Arial" w:cs="Arial"/>
          <w:sz w:val="24"/>
          <w:szCs w:val="24"/>
        </w:rPr>
        <w:lastRenderedPageBreak/>
        <w:t xml:space="preserve">Se ha sugerido que aproximadamente el 65% de los casos están relacionados con la exposición a diversos </w:t>
      </w:r>
      <w:proofErr w:type="spellStart"/>
      <w:r w:rsidRPr="006D03D6">
        <w:rPr>
          <w:rFonts w:ascii="Arial" w:hAnsi="Arial" w:cs="Arial"/>
          <w:sz w:val="24"/>
          <w:szCs w:val="24"/>
        </w:rPr>
        <w:t>fármacosentre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los que se destacan la </w:t>
      </w:r>
      <w:proofErr w:type="spellStart"/>
      <w:r w:rsidRPr="006D03D6">
        <w:rPr>
          <w:rFonts w:ascii="Arial" w:hAnsi="Arial" w:cs="Arial"/>
          <w:sz w:val="24"/>
          <w:szCs w:val="24"/>
        </w:rPr>
        <w:t>dipirona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, los agentes </w:t>
      </w:r>
      <w:proofErr w:type="spellStart"/>
      <w:r w:rsidRPr="006D03D6">
        <w:rPr>
          <w:rFonts w:ascii="Arial" w:hAnsi="Arial" w:cs="Arial"/>
          <w:sz w:val="24"/>
          <w:szCs w:val="24"/>
        </w:rPr>
        <w:t>antitiroideos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6D03D6">
        <w:rPr>
          <w:rFonts w:ascii="Arial" w:hAnsi="Arial" w:cs="Arial"/>
          <w:sz w:val="24"/>
          <w:szCs w:val="24"/>
        </w:rPr>
        <w:t>espironolactona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, los </w:t>
      </w:r>
      <w:proofErr w:type="spellStart"/>
      <w:r w:rsidRPr="006D03D6">
        <w:rPr>
          <w:rFonts w:ascii="Arial" w:hAnsi="Arial" w:cs="Arial"/>
          <w:sz w:val="24"/>
          <w:szCs w:val="24"/>
        </w:rPr>
        <w:t>betabloqueadores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, las </w:t>
      </w:r>
      <w:proofErr w:type="spellStart"/>
      <w:r w:rsidRPr="006D03D6">
        <w:rPr>
          <w:rFonts w:ascii="Arial" w:hAnsi="Arial" w:cs="Arial"/>
          <w:sz w:val="24"/>
          <w:szCs w:val="24"/>
        </w:rPr>
        <w:t>sulfas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, penicilinas, </w:t>
      </w:r>
      <w:proofErr w:type="spellStart"/>
      <w:r w:rsidRPr="006D03D6">
        <w:rPr>
          <w:rFonts w:ascii="Arial" w:hAnsi="Arial" w:cs="Arial"/>
          <w:sz w:val="24"/>
          <w:szCs w:val="24"/>
        </w:rPr>
        <w:t>ticlopidina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y la </w:t>
      </w:r>
      <w:proofErr w:type="spellStart"/>
      <w:r w:rsidRPr="006D03D6">
        <w:rPr>
          <w:rFonts w:ascii="Arial" w:hAnsi="Arial" w:cs="Arial"/>
          <w:sz w:val="24"/>
          <w:szCs w:val="24"/>
        </w:rPr>
        <w:t>clozapina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entre otros.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03D6">
        <w:rPr>
          <w:rFonts w:ascii="Arial" w:hAnsi="Arial" w:cs="Arial"/>
          <w:sz w:val="24"/>
          <w:szCs w:val="24"/>
        </w:rPr>
        <w:t xml:space="preserve"> Los síntomas de </w:t>
      </w:r>
      <w:proofErr w:type="spellStart"/>
      <w:r w:rsidRPr="006D03D6">
        <w:rPr>
          <w:rFonts w:ascii="Arial" w:hAnsi="Arial" w:cs="Arial"/>
          <w:sz w:val="24"/>
          <w:szCs w:val="24"/>
        </w:rPr>
        <w:t>agranulocitosis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más frecuentes son la fiebre, escalofríos, dolor de garganta, lesiones de la mucosa oral o vaginal, que pueden acompañarse de infecciones más severas. La aparición de los síntomas generalmente ocurre en la primera semana post exposición al agente lesivo </w:t>
      </w:r>
      <w:proofErr w:type="gramStart"/>
      <w:r w:rsidRPr="006D03D6">
        <w:rPr>
          <w:rFonts w:ascii="Arial" w:hAnsi="Arial" w:cs="Arial"/>
          <w:sz w:val="24"/>
          <w:szCs w:val="24"/>
          <w:vertAlign w:val="superscript"/>
        </w:rPr>
        <w:t>14 .</w:t>
      </w:r>
      <w:proofErr w:type="gramEnd"/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03D6">
        <w:rPr>
          <w:rFonts w:ascii="Arial" w:hAnsi="Arial" w:cs="Arial"/>
          <w:sz w:val="24"/>
          <w:szCs w:val="24"/>
        </w:rPr>
        <w:t xml:space="preserve"> Sin embargo otros autores sugieren exposiciones más prolongadas antes desarrollar esta discrasia sanguínea (desde más de 15 días continuos hasta 3 meses, o consumos esporádicos frecuentes). Su  incidencia varía entre 1,6 por un 1 millón de habitantes a 7 por un 1 millón de habitantes y se presenta más frecuentemente en mayores de 65 años .</w:t>
      </w:r>
      <w:r w:rsidRPr="006D03D6">
        <w:rPr>
          <w:rFonts w:ascii="Arial" w:hAnsi="Arial" w:cs="Arial"/>
          <w:sz w:val="24"/>
          <w:szCs w:val="24"/>
          <w:vertAlign w:val="superscript"/>
        </w:rPr>
        <w:t>15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D03D6">
        <w:rPr>
          <w:rFonts w:ascii="Arial" w:hAnsi="Arial" w:cs="Arial"/>
          <w:b/>
          <w:bCs/>
          <w:sz w:val="24"/>
          <w:szCs w:val="24"/>
        </w:rPr>
        <w:t>MECANISMOS DE ACCIÓN DE LADIPIRONA IDENTIFICADOS ACTUALMENTE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03D6">
        <w:rPr>
          <w:rFonts w:ascii="Arial" w:hAnsi="Arial" w:cs="Arial"/>
          <w:sz w:val="24"/>
          <w:szCs w:val="24"/>
        </w:rPr>
        <w:t xml:space="preserve">El mecanismo de acción de la </w:t>
      </w:r>
      <w:proofErr w:type="spellStart"/>
      <w:r w:rsidRPr="006D03D6">
        <w:rPr>
          <w:rFonts w:ascii="Arial" w:hAnsi="Arial" w:cs="Arial"/>
          <w:sz w:val="24"/>
          <w:szCs w:val="24"/>
        </w:rPr>
        <w:t>Dipirona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no está completamente dilucidado. </w:t>
      </w:r>
      <w:proofErr w:type="spellStart"/>
      <w:r w:rsidRPr="006D03D6">
        <w:rPr>
          <w:rFonts w:ascii="Arial" w:hAnsi="Arial" w:cs="Arial"/>
          <w:sz w:val="24"/>
          <w:szCs w:val="24"/>
        </w:rPr>
        <w:t>Usadaprincipalmente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por su efecto antipirético y analgésico, comparte algunas características similares a otros AINES aunque sin las acciones antiinflamatorias de estos.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03D6">
        <w:rPr>
          <w:rFonts w:ascii="Arial" w:hAnsi="Arial" w:cs="Arial"/>
          <w:sz w:val="24"/>
          <w:szCs w:val="24"/>
        </w:rPr>
        <w:t xml:space="preserve">Su eficacia como antipirético ha sugerido que sus acciones a nivel del sistema nervioso central podrían estar mediadas por la inhibición de cualquier </w:t>
      </w:r>
      <w:proofErr w:type="spellStart"/>
      <w:r w:rsidRPr="006D03D6">
        <w:rPr>
          <w:rFonts w:ascii="Arial" w:hAnsi="Arial" w:cs="Arial"/>
          <w:sz w:val="24"/>
          <w:szCs w:val="24"/>
        </w:rPr>
        <w:t>isoforma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6D03D6">
        <w:rPr>
          <w:rFonts w:ascii="Arial" w:hAnsi="Arial" w:cs="Arial"/>
          <w:sz w:val="24"/>
          <w:szCs w:val="24"/>
        </w:rPr>
        <w:t>ciclooxigenasa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(1 y 2). En este sentido, se considera que la reducción en la síntesis de PGE 2 tiene efectos antipiréticos por sus acciones en el receptor EP 3 ubicado en las neuronas </w:t>
      </w:r>
      <w:proofErr w:type="spellStart"/>
      <w:r w:rsidRPr="006D03D6">
        <w:rPr>
          <w:rFonts w:ascii="Arial" w:hAnsi="Arial" w:cs="Arial"/>
          <w:sz w:val="24"/>
          <w:szCs w:val="24"/>
        </w:rPr>
        <w:t>termoreguladoras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del hipotálamo anterior en la región </w:t>
      </w:r>
      <w:proofErr w:type="spellStart"/>
      <w:proofErr w:type="gramStart"/>
      <w:r w:rsidRPr="006D03D6">
        <w:rPr>
          <w:rFonts w:ascii="Arial" w:hAnsi="Arial" w:cs="Arial"/>
          <w:sz w:val="24"/>
          <w:szCs w:val="24"/>
        </w:rPr>
        <w:t>preóptica</w:t>
      </w:r>
      <w:proofErr w:type="spellEnd"/>
      <w:r w:rsidRPr="006D03D6">
        <w:rPr>
          <w:rFonts w:ascii="Arial" w:hAnsi="Arial" w:cs="Arial"/>
          <w:sz w:val="24"/>
          <w:szCs w:val="24"/>
          <w:vertAlign w:val="superscript"/>
        </w:rPr>
        <w:t>(</w:t>
      </w:r>
      <w:proofErr w:type="gramEnd"/>
      <w:r w:rsidRPr="006D03D6">
        <w:rPr>
          <w:rFonts w:ascii="Arial" w:hAnsi="Arial" w:cs="Arial"/>
          <w:sz w:val="24"/>
          <w:szCs w:val="24"/>
          <w:vertAlign w:val="superscript"/>
        </w:rPr>
        <w:t>7)</w:t>
      </w:r>
      <w:r w:rsidRPr="006D03D6">
        <w:rPr>
          <w:rFonts w:ascii="Arial" w:hAnsi="Arial" w:cs="Arial"/>
          <w:sz w:val="24"/>
          <w:szCs w:val="24"/>
        </w:rPr>
        <w:t xml:space="preserve"> .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03D6">
        <w:rPr>
          <w:rFonts w:ascii="Arial" w:hAnsi="Arial" w:cs="Arial"/>
          <w:sz w:val="24"/>
          <w:szCs w:val="24"/>
        </w:rPr>
        <w:t xml:space="preserve">Respecto a la escasa evidencia del efecto antiinflamatorio de la </w:t>
      </w:r>
      <w:proofErr w:type="spellStart"/>
      <w:r w:rsidRPr="006D03D6">
        <w:rPr>
          <w:rFonts w:ascii="Arial" w:hAnsi="Arial" w:cs="Arial"/>
          <w:sz w:val="24"/>
          <w:szCs w:val="24"/>
        </w:rPr>
        <w:t>Dipirona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, se sugiere un mecanismo analgésico diferente al observado con los </w:t>
      </w:r>
      <w:proofErr w:type="spellStart"/>
      <w:r w:rsidRPr="006D03D6">
        <w:rPr>
          <w:rFonts w:ascii="Arial" w:hAnsi="Arial" w:cs="Arial"/>
          <w:sz w:val="24"/>
          <w:szCs w:val="24"/>
        </w:rPr>
        <w:t>AINEs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. Se ha demostrado que la </w:t>
      </w:r>
      <w:proofErr w:type="spellStart"/>
      <w:r w:rsidRPr="006D03D6">
        <w:rPr>
          <w:rFonts w:ascii="Arial" w:hAnsi="Arial" w:cs="Arial"/>
          <w:sz w:val="24"/>
          <w:szCs w:val="24"/>
        </w:rPr>
        <w:t>Dipirona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inhibe la activación del canal potencial del receptor transitorio de </w:t>
      </w:r>
      <w:proofErr w:type="spellStart"/>
      <w:r w:rsidRPr="006D03D6">
        <w:rPr>
          <w:rFonts w:ascii="Arial" w:hAnsi="Arial" w:cs="Arial"/>
          <w:sz w:val="24"/>
          <w:szCs w:val="24"/>
        </w:rPr>
        <w:t>ankirina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1 (TRPA1) los cuales se han descrito en las neuronas ubicadas en </w:t>
      </w:r>
      <w:proofErr w:type="gramStart"/>
      <w:r w:rsidRPr="006D03D6">
        <w:rPr>
          <w:rFonts w:ascii="Arial" w:hAnsi="Arial" w:cs="Arial"/>
          <w:sz w:val="24"/>
          <w:szCs w:val="24"/>
        </w:rPr>
        <w:t>el</w:t>
      </w:r>
      <w:proofErr w:type="gramEnd"/>
      <w:r w:rsidRPr="006D03D6">
        <w:rPr>
          <w:rFonts w:ascii="Arial" w:hAnsi="Arial" w:cs="Arial"/>
          <w:sz w:val="24"/>
          <w:szCs w:val="24"/>
        </w:rPr>
        <w:t xml:space="preserve"> raíz dorsal de la médula.</w:t>
      </w:r>
      <w:r w:rsidRPr="006D03D6">
        <w:rPr>
          <w:rFonts w:ascii="Arial" w:hAnsi="Arial" w:cs="Arial"/>
          <w:sz w:val="24"/>
          <w:szCs w:val="24"/>
          <w:vertAlign w:val="superscript"/>
        </w:rPr>
        <w:t>8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03D6">
        <w:rPr>
          <w:rFonts w:ascii="Arial" w:hAnsi="Arial" w:cs="Arial"/>
          <w:sz w:val="24"/>
          <w:szCs w:val="24"/>
        </w:rPr>
        <w:lastRenderedPageBreak/>
        <w:t xml:space="preserve">Finalmente, en cuanto al efecto analgésico y antiespasmódico de la </w:t>
      </w:r>
      <w:proofErr w:type="spellStart"/>
      <w:r w:rsidRPr="006D03D6">
        <w:rPr>
          <w:rFonts w:ascii="Arial" w:hAnsi="Arial" w:cs="Arial"/>
          <w:sz w:val="24"/>
          <w:szCs w:val="24"/>
        </w:rPr>
        <w:t>Dipirona</w:t>
      </w:r>
      <w:proofErr w:type="spellEnd"/>
      <w:r w:rsidRPr="006D03D6">
        <w:rPr>
          <w:rFonts w:ascii="Arial" w:hAnsi="Arial" w:cs="Arial"/>
          <w:sz w:val="24"/>
          <w:szCs w:val="24"/>
        </w:rPr>
        <w:t>, se ha descrito que puede estar asociado a la activación de la vía óxido nítrico-</w:t>
      </w:r>
      <w:proofErr w:type="spellStart"/>
      <w:r w:rsidRPr="006D03D6">
        <w:rPr>
          <w:rFonts w:ascii="Arial" w:hAnsi="Arial" w:cs="Arial"/>
          <w:sz w:val="24"/>
          <w:szCs w:val="24"/>
        </w:rPr>
        <w:t>GMPc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y el ingreso de potasio a la célula </w:t>
      </w:r>
      <w:proofErr w:type="spellStart"/>
      <w:r w:rsidRPr="006D03D6">
        <w:rPr>
          <w:rFonts w:ascii="Arial" w:hAnsi="Arial" w:cs="Arial"/>
          <w:sz w:val="24"/>
          <w:szCs w:val="24"/>
        </w:rPr>
        <w:t>hiperpolarizándola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, interfiriendo con la señal dolorosa en las neuronas periféricas 9. Se ha evidenciado también que el uso de la </w:t>
      </w:r>
      <w:proofErr w:type="spellStart"/>
      <w:r w:rsidRPr="006D03D6">
        <w:rPr>
          <w:rFonts w:ascii="Arial" w:hAnsi="Arial" w:cs="Arial"/>
          <w:sz w:val="24"/>
          <w:szCs w:val="24"/>
        </w:rPr>
        <w:t>dipirona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puede mediar efectos analgésicos a través de la inhibición de la </w:t>
      </w:r>
      <w:proofErr w:type="spellStart"/>
      <w:r w:rsidRPr="006D03D6">
        <w:rPr>
          <w:rFonts w:ascii="Arial" w:hAnsi="Arial" w:cs="Arial"/>
          <w:sz w:val="24"/>
          <w:szCs w:val="24"/>
        </w:rPr>
        <w:t>adenilatociclasaen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la sustancia gris, reduce la antinocicepción.</w:t>
      </w:r>
      <w:r w:rsidRPr="006D03D6">
        <w:rPr>
          <w:rFonts w:ascii="Arial" w:hAnsi="Arial" w:cs="Arial"/>
          <w:sz w:val="24"/>
          <w:szCs w:val="24"/>
          <w:vertAlign w:val="superscript"/>
        </w:rPr>
        <w:t>10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D03D6">
        <w:rPr>
          <w:rFonts w:ascii="Arial" w:hAnsi="Arial" w:cs="Arial"/>
          <w:b/>
          <w:bCs/>
          <w:sz w:val="24"/>
          <w:szCs w:val="24"/>
        </w:rPr>
        <w:t>MECANISMOS DESCRITOS PARAEL DESARROLLO DE AGRANULOCITOSIS POR DIPIRONA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03D6">
        <w:rPr>
          <w:rFonts w:ascii="Arial" w:hAnsi="Arial" w:cs="Arial"/>
          <w:sz w:val="24"/>
          <w:szCs w:val="24"/>
        </w:rPr>
        <w:t xml:space="preserve">Tradicionalmente, los mecanismos asociados a la </w:t>
      </w:r>
      <w:proofErr w:type="spellStart"/>
      <w:r w:rsidRPr="006D03D6">
        <w:rPr>
          <w:rFonts w:ascii="Arial" w:hAnsi="Arial" w:cs="Arial"/>
          <w:sz w:val="24"/>
          <w:szCs w:val="24"/>
        </w:rPr>
        <w:t>agranulocitosis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inducida por fármacos han sido clasificados </w:t>
      </w:r>
      <w:r w:rsidRPr="006D03D6">
        <w:rPr>
          <w:rFonts w:ascii="Arial" w:hAnsi="Arial" w:cs="Arial"/>
          <w:sz w:val="24"/>
          <w:szCs w:val="24"/>
          <w:u w:val="single"/>
        </w:rPr>
        <w:t xml:space="preserve">como tóxicos o </w:t>
      </w:r>
      <w:proofErr w:type="gramStart"/>
      <w:r w:rsidRPr="006D03D6">
        <w:rPr>
          <w:rFonts w:ascii="Arial" w:hAnsi="Arial" w:cs="Arial"/>
          <w:sz w:val="24"/>
          <w:szCs w:val="24"/>
          <w:u w:val="single"/>
        </w:rPr>
        <w:t>inmunológicos</w:t>
      </w:r>
      <w:r w:rsidRPr="006D03D6">
        <w:rPr>
          <w:rFonts w:ascii="Arial" w:hAnsi="Arial" w:cs="Arial"/>
          <w:sz w:val="24"/>
          <w:szCs w:val="24"/>
          <w:vertAlign w:val="superscript"/>
        </w:rPr>
        <w:t>16 .</w:t>
      </w:r>
      <w:proofErr w:type="gramEnd"/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03D6">
        <w:rPr>
          <w:rFonts w:ascii="Arial" w:hAnsi="Arial" w:cs="Arial"/>
          <w:sz w:val="24"/>
          <w:szCs w:val="24"/>
        </w:rPr>
        <w:t xml:space="preserve">Respecto a los </w:t>
      </w:r>
      <w:r w:rsidRPr="006D03D6">
        <w:rPr>
          <w:rFonts w:ascii="Arial" w:hAnsi="Arial" w:cs="Arial"/>
          <w:sz w:val="24"/>
          <w:szCs w:val="24"/>
          <w:u w:val="single"/>
        </w:rPr>
        <w:t>mecanismos tóxicos,</w:t>
      </w:r>
      <w:r w:rsidRPr="006D03D6">
        <w:rPr>
          <w:rFonts w:ascii="Arial" w:hAnsi="Arial" w:cs="Arial"/>
          <w:sz w:val="24"/>
          <w:szCs w:val="24"/>
        </w:rPr>
        <w:t xml:space="preserve"> en 1952 se demostró citotoxicidad de neutrófilos séricos en un paciente que presentó </w:t>
      </w:r>
      <w:proofErr w:type="spellStart"/>
      <w:r w:rsidRPr="006D03D6">
        <w:rPr>
          <w:rFonts w:ascii="Arial" w:hAnsi="Arial" w:cs="Arial"/>
          <w:sz w:val="24"/>
          <w:szCs w:val="24"/>
        </w:rPr>
        <w:t>agranulocitosis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por </w:t>
      </w:r>
      <w:proofErr w:type="spellStart"/>
      <w:r w:rsidRPr="006D03D6">
        <w:rPr>
          <w:rFonts w:ascii="Arial" w:hAnsi="Arial" w:cs="Arial"/>
          <w:sz w:val="24"/>
          <w:szCs w:val="24"/>
        </w:rPr>
        <w:t>aminopirina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, sugiriendo que se desarrollaban anticuerpos </w:t>
      </w:r>
      <w:proofErr w:type="spellStart"/>
      <w:r w:rsidRPr="006D03D6">
        <w:rPr>
          <w:rFonts w:ascii="Arial" w:hAnsi="Arial" w:cs="Arial"/>
          <w:sz w:val="24"/>
          <w:szCs w:val="24"/>
        </w:rPr>
        <w:t>antineutrófilos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dependientes del fármaco que mediaban su rápida destrucción. </w:t>
      </w:r>
      <w:r w:rsidRPr="006D03D6">
        <w:rPr>
          <w:rFonts w:ascii="Arial" w:hAnsi="Arial" w:cs="Arial"/>
          <w:sz w:val="24"/>
          <w:szCs w:val="24"/>
          <w:vertAlign w:val="superscript"/>
        </w:rPr>
        <w:t>18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03D6">
        <w:rPr>
          <w:rFonts w:ascii="Arial" w:hAnsi="Arial" w:cs="Arial"/>
          <w:sz w:val="24"/>
          <w:szCs w:val="24"/>
        </w:rPr>
        <w:t xml:space="preserve">Respecto a los </w:t>
      </w:r>
      <w:r w:rsidRPr="006D03D6">
        <w:rPr>
          <w:rFonts w:ascii="Arial" w:hAnsi="Arial" w:cs="Arial"/>
          <w:sz w:val="24"/>
          <w:szCs w:val="24"/>
          <w:u w:val="single"/>
        </w:rPr>
        <w:t>mecanismos inmunológicos</w:t>
      </w:r>
      <w:r w:rsidRPr="006D03D6">
        <w:rPr>
          <w:rFonts w:ascii="Arial" w:hAnsi="Arial" w:cs="Arial"/>
          <w:sz w:val="24"/>
          <w:szCs w:val="24"/>
        </w:rPr>
        <w:t xml:space="preserve">, en 1989 </w:t>
      </w:r>
      <w:proofErr w:type="spellStart"/>
      <w:r w:rsidRPr="006D03D6">
        <w:rPr>
          <w:rFonts w:ascii="Arial" w:hAnsi="Arial" w:cs="Arial"/>
          <w:sz w:val="24"/>
          <w:szCs w:val="24"/>
        </w:rPr>
        <w:t>Hagris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realizo estudios q lo demostró Tradicionalmente, la formación de complejos inmunes, de </w:t>
      </w:r>
      <w:proofErr w:type="spellStart"/>
      <w:r w:rsidRPr="006D03D6">
        <w:rPr>
          <w:rFonts w:ascii="Arial" w:hAnsi="Arial" w:cs="Arial"/>
          <w:sz w:val="24"/>
          <w:szCs w:val="24"/>
        </w:rPr>
        <w:t>haptenos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y procesos autoinmunes, son los tres mecanismos descritos en el desarrollo de </w:t>
      </w:r>
      <w:proofErr w:type="spellStart"/>
      <w:r w:rsidRPr="006D03D6">
        <w:rPr>
          <w:rFonts w:ascii="Arial" w:hAnsi="Arial" w:cs="Arial"/>
          <w:sz w:val="24"/>
          <w:szCs w:val="24"/>
        </w:rPr>
        <w:t>agranulocitosis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mediada por fármacos, que deriva en lisis celular, formación de </w:t>
      </w:r>
      <w:proofErr w:type="spellStart"/>
      <w:r w:rsidRPr="006D03D6">
        <w:rPr>
          <w:rFonts w:ascii="Arial" w:hAnsi="Arial" w:cs="Arial"/>
          <w:sz w:val="24"/>
          <w:szCs w:val="24"/>
        </w:rPr>
        <w:t>leucoaglutininas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o eliminación </w:t>
      </w:r>
      <w:proofErr w:type="spellStart"/>
      <w:r w:rsidRPr="006D03D6">
        <w:rPr>
          <w:rFonts w:ascii="Arial" w:hAnsi="Arial" w:cs="Arial"/>
          <w:sz w:val="24"/>
          <w:szCs w:val="24"/>
        </w:rPr>
        <w:t>reticuloendotelial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. Las reacciones de complejos inmunes podrían ser inducidas por anticuerpos, que bajo ciertas circunstancias, formarían complejos con el fármaco. En procesos autoinmunes, </w:t>
      </w:r>
      <w:proofErr w:type="spellStart"/>
      <w:r w:rsidRPr="006D03D6">
        <w:rPr>
          <w:rFonts w:ascii="Arial" w:hAnsi="Arial" w:cs="Arial"/>
          <w:sz w:val="24"/>
          <w:szCs w:val="24"/>
        </w:rPr>
        <w:t>autoanticuerpos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contra los neutrófilos son producidos como respuesta a que el fármaco inicia una reacción autoinmune</w:t>
      </w:r>
      <w:r w:rsidRPr="006D03D6">
        <w:rPr>
          <w:rFonts w:ascii="Arial" w:hAnsi="Arial" w:cs="Arial"/>
          <w:sz w:val="24"/>
          <w:szCs w:val="24"/>
          <w:vertAlign w:val="superscript"/>
        </w:rPr>
        <w:t>.20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03D6">
        <w:rPr>
          <w:rFonts w:ascii="Arial" w:hAnsi="Arial" w:cs="Arial"/>
          <w:sz w:val="24"/>
          <w:szCs w:val="24"/>
        </w:rPr>
        <w:t xml:space="preserve">Se ha determinado también que uno de los metabolitos de puede interactuar con cadenas de lisina de los neutrófilos y  producir lisis de neutrófilos mediada por anticuerpos no sólo en sangre periférica sino también en la médula ósea </w:t>
      </w:r>
      <w:r w:rsidRPr="006D03D6">
        <w:rPr>
          <w:rFonts w:ascii="Arial" w:hAnsi="Arial" w:cs="Arial"/>
          <w:sz w:val="24"/>
          <w:szCs w:val="24"/>
          <w:vertAlign w:val="superscript"/>
        </w:rPr>
        <w:t>21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03D6">
        <w:rPr>
          <w:rFonts w:ascii="Arial" w:hAnsi="Arial" w:cs="Arial"/>
          <w:sz w:val="24"/>
          <w:szCs w:val="24"/>
        </w:rPr>
        <w:t xml:space="preserve">Respecto al rol de </w:t>
      </w:r>
      <w:r w:rsidRPr="006D03D6">
        <w:rPr>
          <w:rFonts w:ascii="Arial" w:hAnsi="Arial" w:cs="Arial"/>
          <w:sz w:val="24"/>
          <w:szCs w:val="24"/>
          <w:u w:val="single"/>
        </w:rPr>
        <w:t>los factores genéticos</w:t>
      </w:r>
      <w:r w:rsidRPr="006D03D6">
        <w:rPr>
          <w:rFonts w:ascii="Arial" w:hAnsi="Arial" w:cs="Arial"/>
          <w:sz w:val="24"/>
          <w:szCs w:val="24"/>
        </w:rPr>
        <w:t xml:space="preserve"> en pacientes que desarrollaron </w:t>
      </w:r>
      <w:proofErr w:type="spellStart"/>
      <w:r w:rsidRPr="006D03D6">
        <w:rPr>
          <w:rFonts w:ascii="Arial" w:hAnsi="Arial" w:cs="Arial"/>
          <w:sz w:val="24"/>
          <w:szCs w:val="24"/>
        </w:rPr>
        <w:t>agranulocitosis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, se realizó en Bulgaria un estudio en 1996, midiéndose como variables </w:t>
      </w:r>
      <w:r w:rsidRPr="006D03D6">
        <w:rPr>
          <w:rFonts w:ascii="Arial" w:hAnsi="Arial" w:cs="Arial"/>
          <w:sz w:val="24"/>
          <w:szCs w:val="24"/>
        </w:rPr>
        <w:lastRenderedPageBreak/>
        <w:t xml:space="preserve">la </w:t>
      </w:r>
      <w:proofErr w:type="spellStart"/>
      <w:r w:rsidRPr="006D03D6">
        <w:rPr>
          <w:rFonts w:ascii="Arial" w:hAnsi="Arial" w:cs="Arial"/>
          <w:sz w:val="24"/>
          <w:szCs w:val="24"/>
        </w:rPr>
        <w:t>fenotipificación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de </w:t>
      </w:r>
      <w:r w:rsidRPr="006D03D6">
        <w:rPr>
          <w:rFonts w:ascii="Arial" w:hAnsi="Arial" w:cs="Arial"/>
          <w:sz w:val="24"/>
          <w:szCs w:val="24"/>
          <w:u w:val="single"/>
        </w:rPr>
        <w:t xml:space="preserve">polimorfismos de </w:t>
      </w:r>
      <w:proofErr w:type="spellStart"/>
      <w:r w:rsidRPr="006D03D6">
        <w:rPr>
          <w:rFonts w:ascii="Arial" w:hAnsi="Arial" w:cs="Arial"/>
          <w:sz w:val="24"/>
          <w:szCs w:val="24"/>
          <w:u w:val="single"/>
        </w:rPr>
        <w:t>nacetil</w:t>
      </w:r>
      <w:proofErr w:type="spellEnd"/>
      <w:r w:rsidRPr="006D03D6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6D03D6">
        <w:rPr>
          <w:rFonts w:ascii="Arial" w:hAnsi="Arial" w:cs="Arial"/>
          <w:sz w:val="24"/>
          <w:szCs w:val="24"/>
          <w:u w:val="single"/>
        </w:rPr>
        <w:t>transferasas</w:t>
      </w:r>
      <w:proofErr w:type="spellEnd"/>
      <w:r w:rsidRPr="006D03D6">
        <w:rPr>
          <w:rFonts w:ascii="Arial" w:hAnsi="Arial" w:cs="Arial"/>
          <w:sz w:val="24"/>
          <w:szCs w:val="24"/>
          <w:u w:val="single"/>
        </w:rPr>
        <w:t xml:space="preserve"> y glucosa 6 fosfato deshidrogenasa</w:t>
      </w:r>
      <w:r w:rsidRPr="006D03D6">
        <w:rPr>
          <w:rFonts w:ascii="Arial" w:hAnsi="Arial" w:cs="Arial"/>
          <w:sz w:val="24"/>
          <w:szCs w:val="24"/>
        </w:rPr>
        <w:t xml:space="preserve">, así como los </w:t>
      </w:r>
      <w:r w:rsidRPr="006D03D6">
        <w:rPr>
          <w:rFonts w:ascii="Arial" w:hAnsi="Arial" w:cs="Arial"/>
          <w:sz w:val="24"/>
          <w:szCs w:val="24"/>
          <w:u w:val="single"/>
        </w:rPr>
        <w:t xml:space="preserve">productos génicos de HLA, grupos sanguíneos Rh, ABO y hemoglobinas y realizando además análisis </w:t>
      </w:r>
      <w:proofErr w:type="spellStart"/>
      <w:r w:rsidRPr="006D03D6">
        <w:rPr>
          <w:rFonts w:ascii="Arial" w:hAnsi="Arial" w:cs="Arial"/>
          <w:sz w:val="24"/>
          <w:szCs w:val="24"/>
          <w:u w:val="single"/>
        </w:rPr>
        <w:t>citogenéticos</w:t>
      </w:r>
      <w:proofErr w:type="spellEnd"/>
      <w:r w:rsidRPr="006D03D6">
        <w:rPr>
          <w:rFonts w:ascii="Arial" w:hAnsi="Arial" w:cs="Arial"/>
          <w:sz w:val="24"/>
          <w:szCs w:val="24"/>
          <w:u w:val="single"/>
        </w:rPr>
        <w:t xml:space="preserve"> de aberraciones cromosó</w:t>
      </w:r>
      <w:r w:rsidRPr="006D03D6">
        <w:rPr>
          <w:rFonts w:ascii="Arial" w:hAnsi="Arial" w:cs="Arial"/>
          <w:sz w:val="24"/>
          <w:szCs w:val="24"/>
        </w:rPr>
        <w:t xml:space="preserve">micas. La frecuencia de aberraciones cromosómicas y productos génicos también fue más alta en los pacientes que desarrollaron </w:t>
      </w:r>
      <w:proofErr w:type="spellStart"/>
      <w:r w:rsidRPr="006D03D6">
        <w:rPr>
          <w:rFonts w:ascii="Arial" w:hAnsi="Arial" w:cs="Arial"/>
          <w:sz w:val="24"/>
          <w:szCs w:val="24"/>
        </w:rPr>
        <w:t>agranulocitosis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por </w:t>
      </w:r>
      <w:proofErr w:type="spellStart"/>
      <w:r w:rsidRPr="006D03D6">
        <w:rPr>
          <w:rFonts w:ascii="Arial" w:hAnsi="Arial" w:cs="Arial"/>
          <w:sz w:val="24"/>
          <w:szCs w:val="24"/>
        </w:rPr>
        <w:t>dipirona</w:t>
      </w:r>
      <w:proofErr w:type="spellEnd"/>
      <w:proofErr w:type="gramStart"/>
      <w:r w:rsidRPr="006D03D6">
        <w:rPr>
          <w:rFonts w:ascii="Arial" w:hAnsi="Arial" w:cs="Arial"/>
          <w:sz w:val="24"/>
          <w:szCs w:val="24"/>
        </w:rPr>
        <w:t>,.</w:t>
      </w:r>
      <w:proofErr w:type="gramEnd"/>
      <w:r w:rsidRPr="006D03D6">
        <w:rPr>
          <w:rFonts w:ascii="Arial" w:hAnsi="Arial" w:cs="Arial"/>
          <w:sz w:val="24"/>
          <w:szCs w:val="24"/>
        </w:rPr>
        <w:t xml:space="preserve"> No se encontraron diferencias significativas entre los pacientes que </w:t>
      </w:r>
      <w:proofErr w:type="spellStart"/>
      <w:r w:rsidRPr="006D03D6">
        <w:rPr>
          <w:rFonts w:ascii="Arial" w:hAnsi="Arial" w:cs="Arial"/>
          <w:sz w:val="24"/>
          <w:szCs w:val="24"/>
        </w:rPr>
        <w:t>desarrollaronagranulocitosis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por </w:t>
      </w:r>
      <w:proofErr w:type="spellStart"/>
      <w:r w:rsidRPr="006D03D6">
        <w:rPr>
          <w:rFonts w:ascii="Arial" w:hAnsi="Arial" w:cs="Arial"/>
          <w:sz w:val="24"/>
          <w:szCs w:val="24"/>
        </w:rPr>
        <w:t>dipirona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y el resto en cuanto a los subtipos de hemoglobina, grupos sanguíneos RH y ABO, así como tampoco para la tasa de </w:t>
      </w:r>
      <w:proofErr w:type="spellStart"/>
      <w:r w:rsidRPr="006D03D6">
        <w:rPr>
          <w:rFonts w:ascii="Arial" w:hAnsi="Arial" w:cs="Arial"/>
          <w:sz w:val="24"/>
          <w:szCs w:val="24"/>
        </w:rPr>
        <w:t>actividadde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glucosa 6 </w:t>
      </w:r>
      <w:proofErr w:type="spellStart"/>
      <w:r w:rsidRPr="006D03D6">
        <w:rPr>
          <w:rFonts w:ascii="Arial" w:hAnsi="Arial" w:cs="Arial"/>
          <w:sz w:val="24"/>
          <w:szCs w:val="24"/>
        </w:rPr>
        <w:t>fofato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deshidrogenasa ni para </w:t>
      </w:r>
      <w:proofErr w:type="spellStart"/>
      <w:r w:rsidRPr="006D03D6">
        <w:rPr>
          <w:rFonts w:ascii="Arial" w:hAnsi="Arial" w:cs="Arial"/>
          <w:sz w:val="24"/>
          <w:szCs w:val="24"/>
        </w:rPr>
        <w:t>acetiladores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rápidos o lentos.</w:t>
      </w:r>
      <w:r w:rsidRPr="006D03D6">
        <w:rPr>
          <w:rFonts w:ascii="Arial" w:hAnsi="Arial" w:cs="Arial"/>
          <w:sz w:val="24"/>
          <w:szCs w:val="24"/>
          <w:vertAlign w:val="superscript"/>
        </w:rPr>
        <w:t>22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D03D6">
        <w:rPr>
          <w:rFonts w:ascii="Arial" w:hAnsi="Arial" w:cs="Arial"/>
          <w:b/>
          <w:bCs/>
          <w:sz w:val="24"/>
          <w:szCs w:val="24"/>
          <w:u w:val="single"/>
        </w:rPr>
        <w:t>ESTIMACIÓN DE RIESGO DE AGRANULOCTIOSIS CON DIPIRONA: ESTADOS UNIDOS, EUROPAY AMÉRICA LATINA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D03D6">
        <w:rPr>
          <w:rFonts w:ascii="Arial" w:hAnsi="Arial" w:cs="Arial"/>
          <w:sz w:val="24"/>
          <w:szCs w:val="24"/>
          <w:u w:val="single"/>
        </w:rPr>
        <w:t>Estados Unidos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03D6">
        <w:rPr>
          <w:rFonts w:ascii="Arial" w:hAnsi="Arial" w:cs="Arial"/>
          <w:sz w:val="24"/>
          <w:szCs w:val="24"/>
        </w:rPr>
        <w:t xml:space="preserve">En 1902 el Dr. Philip Brown presentó </w:t>
      </w:r>
      <w:proofErr w:type="spellStart"/>
      <w:r w:rsidRPr="006D03D6">
        <w:rPr>
          <w:rFonts w:ascii="Arial" w:hAnsi="Arial" w:cs="Arial"/>
          <w:sz w:val="24"/>
          <w:szCs w:val="24"/>
        </w:rPr>
        <w:t>laprimera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descripción de un caso fatal de faringitis </w:t>
      </w:r>
      <w:proofErr w:type="spellStart"/>
      <w:r w:rsidRPr="006D03D6">
        <w:rPr>
          <w:rFonts w:ascii="Arial" w:hAnsi="Arial" w:cs="Arial"/>
          <w:sz w:val="24"/>
          <w:szCs w:val="24"/>
        </w:rPr>
        <w:t>mas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neutropenia intensa. </w:t>
      </w:r>
      <w:proofErr w:type="spellStart"/>
      <w:r w:rsidRPr="006D03D6">
        <w:rPr>
          <w:rFonts w:ascii="Arial" w:hAnsi="Arial" w:cs="Arial"/>
          <w:sz w:val="24"/>
          <w:szCs w:val="24"/>
        </w:rPr>
        <w:t>Moeschlin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y colaboradores en 1935 demostraron que el suero obtenido de pacientes sensibles a la </w:t>
      </w:r>
      <w:proofErr w:type="spellStart"/>
      <w:r w:rsidRPr="006D03D6">
        <w:rPr>
          <w:rFonts w:ascii="Arial" w:hAnsi="Arial" w:cs="Arial"/>
          <w:sz w:val="24"/>
          <w:szCs w:val="24"/>
        </w:rPr>
        <w:t>aminopirina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desarrollaba </w:t>
      </w:r>
      <w:proofErr w:type="spellStart"/>
      <w:r w:rsidRPr="006D03D6">
        <w:rPr>
          <w:rFonts w:ascii="Arial" w:hAnsi="Arial" w:cs="Arial"/>
          <w:sz w:val="24"/>
          <w:szCs w:val="24"/>
        </w:rPr>
        <w:t>granulocitopenia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transitoria en individuos sanos a los 30 min postexposición.</w:t>
      </w:r>
      <w:r w:rsidRPr="006D03D6">
        <w:rPr>
          <w:rFonts w:ascii="Arial" w:hAnsi="Arial" w:cs="Arial"/>
          <w:sz w:val="24"/>
          <w:szCs w:val="24"/>
          <w:vertAlign w:val="superscript"/>
        </w:rPr>
        <w:t>3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03D6">
        <w:rPr>
          <w:rFonts w:ascii="Arial" w:hAnsi="Arial" w:cs="Arial"/>
          <w:sz w:val="24"/>
          <w:szCs w:val="24"/>
        </w:rPr>
        <w:t xml:space="preserve">El Dr. George </w:t>
      </w:r>
      <w:proofErr w:type="spellStart"/>
      <w:r w:rsidRPr="006D03D6">
        <w:rPr>
          <w:rFonts w:ascii="Arial" w:hAnsi="Arial" w:cs="Arial"/>
          <w:sz w:val="24"/>
          <w:szCs w:val="24"/>
        </w:rPr>
        <w:t>Discombe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en Junio de 1952 publicó una reseña en la revista British Medical </w:t>
      </w:r>
      <w:proofErr w:type="spellStart"/>
      <w:r w:rsidRPr="006D03D6">
        <w:rPr>
          <w:rFonts w:ascii="Arial" w:hAnsi="Arial" w:cs="Arial"/>
          <w:sz w:val="24"/>
          <w:szCs w:val="24"/>
        </w:rPr>
        <w:t>Journal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en la que hace un reporte de un caso de </w:t>
      </w:r>
      <w:proofErr w:type="spellStart"/>
      <w:r w:rsidRPr="006D03D6">
        <w:rPr>
          <w:rFonts w:ascii="Arial" w:hAnsi="Arial" w:cs="Arial"/>
          <w:sz w:val="24"/>
          <w:szCs w:val="24"/>
        </w:rPr>
        <w:t>agranulocitosis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en una mujer que había usado un compuesto con </w:t>
      </w:r>
      <w:proofErr w:type="spellStart"/>
      <w:r w:rsidRPr="006D03D6">
        <w:rPr>
          <w:rFonts w:ascii="Arial" w:hAnsi="Arial" w:cs="Arial"/>
          <w:sz w:val="24"/>
          <w:szCs w:val="24"/>
        </w:rPr>
        <w:t>aminopirina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. Al final </w:t>
      </w:r>
      <w:proofErr w:type="gramStart"/>
      <w:r w:rsidRPr="006D03D6">
        <w:rPr>
          <w:rFonts w:ascii="Arial" w:hAnsi="Arial" w:cs="Arial"/>
          <w:sz w:val="24"/>
          <w:szCs w:val="24"/>
        </w:rPr>
        <w:t>estimó</w:t>
      </w:r>
      <w:proofErr w:type="gramEnd"/>
      <w:r w:rsidRPr="006D03D6">
        <w:rPr>
          <w:rFonts w:ascii="Arial" w:hAnsi="Arial" w:cs="Arial"/>
          <w:sz w:val="24"/>
          <w:szCs w:val="24"/>
        </w:rPr>
        <w:t xml:space="preserve"> una incidencia de </w:t>
      </w:r>
      <w:proofErr w:type="spellStart"/>
      <w:r w:rsidRPr="006D03D6">
        <w:rPr>
          <w:rFonts w:ascii="Arial" w:hAnsi="Arial" w:cs="Arial"/>
          <w:sz w:val="24"/>
          <w:szCs w:val="24"/>
        </w:rPr>
        <w:t>agranulocitosispara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los usuarios de </w:t>
      </w:r>
      <w:proofErr w:type="spellStart"/>
      <w:r w:rsidRPr="006D03D6">
        <w:rPr>
          <w:rFonts w:ascii="Arial" w:hAnsi="Arial" w:cs="Arial"/>
          <w:sz w:val="24"/>
          <w:szCs w:val="24"/>
        </w:rPr>
        <w:t>aminopirina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en 0,8%.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03D6">
        <w:rPr>
          <w:rFonts w:ascii="Arial" w:hAnsi="Arial" w:cs="Arial"/>
          <w:sz w:val="24"/>
          <w:szCs w:val="24"/>
        </w:rPr>
        <w:t xml:space="preserve">El Dr. </w:t>
      </w:r>
      <w:proofErr w:type="spellStart"/>
      <w:r w:rsidRPr="006D03D6">
        <w:rPr>
          <w:rFonts w:ascii="Arial" w:hAnsi="Arial" w:cs="Arial"/>
          <w:sz w:val="24"/>
          <w:szCs w:val="24"/>
        </w:rPr>
        <w:t>Discombe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creía que el tiempo de exposición era relevante en el desarrollo de esta enfermedad por lo que agrupo las muestras de estudios europeos con exposiciones mayores o iguales a 14 días que sumaban un total de 1272 pacientes con el riesgo final arriba estimado (</w:t>
      </w:r>
      <w:proofErr w:type="spellStart"/>
      <w:r w:rsidRPr="006D03D6">
        <w:rPr>
          <w:rFonts w:ascii="Arial" w:hAnsi="Arial" w:cs="Arial"/>
          <w:sz w:val="24"/>
          <w:szCs w:val="24"/>
        </w:rPr>
        <w:t>aprox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1 de cada 125 usuarios)</w:t>
      </w:r>
      <w:r w:rsidRPr="006D03D6">
        <w:rPr>
          <w:rFonts w:ascii="Arial" w:hAnsi="Arial" w:cs="Arial"/>
          <w:sz w:val="24"/>
          <w:szCs w:val="24"/>
          <w:vertAlign w:val="superscript"/>
        </w:rPr>
        <w:t>23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03D6">
        <w:rPr>
          <w:rFonts w:ascii="Arial" w:hAnsi="Arial" w:cs="Arial"/>
          <w:sz w:val="24"/>
          <w:szCs w:val="24"/>
        </w:rPr>
        <w:t>Posterior a esta publicación inició el debate sobre la relación riesgo-beneficio con el uso de este fármaco. Finalmente la FDA prohibió su uso y comercialización en los EEUU en la década en la década de los setenta del siglo pasado (1972).</w:t>
      </w:r>
      <w:r w:rsidRPr="006D03D6">
        <w:rPr>
          <w:rFonts w:ascii="Arial" w:hAnsi="Arial" w:cs="Arial"/>
          <w:sz w:val="24"/>
          <w:szCs w:val="24"/>
          <w:vertAlign w:val="superscript"/>
        </w:rPr>
        <w:t>24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D03D6">
        <w:rPr>
          <w:rFonts w:ascii="Arial" w:hAnsi="Arial" w:cs="Arial"/>
          <w:sz w:val="24"/>
          <w:szCs w:val="24"/>
          <w:u w:val="single"/>
        </w:rPr>
        <w:t>Europa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03D6">
        <w:rPr>
          <w:rFonts w:ascii="Arial" w:hAnsi="Arial" w:cs="Arial"/>
          <w:sz w:val="24"/>
          <w:szCs w:val="24"/>
        </w:rPr>
        <w:lastRenderedPageBreak/>
        <w:t>En Octubre de 1986 la revista JAMA publicó las conclusiones del estudio “</w:t>
      </w:r>
      <w:proofErr w:type="spellStart"/>
      <w:r w:rsidRPr="006D03D6">
        <w:rPr>
          <w:rFonts w:ascii="Arial" w:hAnsi="Arial" w:cs="Arial"/>
          <w:sz w:val="24"/>
          <w:szCs w:val="24"/>
        </w:rPr>
        <w:t>The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International </w:t>
      </w:r>
      <w:proofErr w:type="spellStart"/>
      <w:r w:rsidRPr="006D03D6">
        <w:rPr>
          <w:rFonts w:ascii="Arial" w:hAnsi="Arial" w:cs="Arial"/>
          <w:sz w:val="24"/>
          <w:szCs w:val="24"/>
        </w:rPr>
        <w:t>Agranulocytosis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6D03D6">
        <w:rPr>
          <w:rFonts w:ascii="Arial" w:hAnsi="Arial" w:cs="Arial"/>
          <w:sz w:val="24"/>
          <w:szCs w:val="24"/>
        </w:rPr>
        <w:t>AplasticAnemia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3D6">
        <w:rPr>
          <w:rFonts w:ascii="Arial" w:hAnsi="Arial" w:cs="Arial"/>
          <w:sz w:val="24"/>
          <w:szCs w:val="24"/>
        </w:rPr>
        <w:t>Study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”, </w:t>
      </w:r>
      <w:proofErr w:type="gramStart"/>
      <w:r w:rsidRPr="006D03D6">
        <w:rPr>
          <w:rFonts w:ascii="Arial" w:hAnsi="Arial" w:cs="Arial"/>
          <w:sz w:val="24"/>
          <w:szCs w:val="24"/>
        </w:rPr>
        <w:t>IAAAS .</w:t>
      </w:r>
      <w:proofErr w:type="gramEnd"/>
      <w:r w:rsidRPr="006D03D6">
        <w:rPr>
          <w:rFonts w:ascii="Arial" w:hAnsi="Arial" w:cs="Arial"/>
          <w:sz w:val="24"/>
          <w:szCs w:val="24"/>
        </w:rPr>
        <w:t xml:space="preserve"> Comparó el uso de </w:t>
      </w:r>
      <w:proofErr w:type="spellStart"/>
      <w:r w:rsidRPr="006D03D6">
        <w:rPr>
          <w:rFonts w:ascii="Arial" w:hAnsi="Arial" w:cs="Arial"/>
          <w:sz w:val="24"/>
          <w:szCs w:val="24"/>
        </w:rPr>
        <w:t>analgésicosuna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semana previa del día índice (día en que comenzaron los síntomas de la </w:t>
      </w:r>
      <w:proofErr w:type="spellStart"/>
      <w:r w:rsidRPr="006D03D6">
        <w:rPr>
          <w:rFonts w:ascii="Arial" w:hAnsi="Arial" w:cs="Arial"/>
          <w:sz w:val="24"/>
          <w:szCs w:val="24"/>
        </w:rPr>
        <w:t>agranulocitosis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) entre 221 casos y 1425 controles hospitalarios de una población total cercana a 20 millones de habitantes. El riesgo de </w:t>
      </w:r>
      <w:proofErr w:type="spellStart"/>
      <w:r w:rsidRPr="006D03D6">
        <w:rPr>
          <w:rFonts w:ascii="Arial" w:hAnsi="Arial" w:cs="Arial"/>
          <w:sz w:val="24"/>
          <w:szCs w:val="24"/>
        </w:rPr>
        <w:t>agranulocitosis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con la </w:t>
      </w:r>
      <w:proofErr w:type="spellStart"/>
      <w:r w:rsidRPr="006D03D6">
        <w:rPr>
          <w:rFonts w:ascii="Arial" w:hAnsi="Arial" w:cs="Arial"/>
          <w:sz w:val="24"/>
          <w:szCs w:val="24"/>
        </w:rPr>
        <w:t>dipirona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a una semana de su uso fue estimado en 1.1 por 1.000.000 usuarios.</w:t>
      </w:r>
      <w:r w:rsidRPr="006D03D6">
        <w:rPr>
          <w:rFonts w:ascii="Arial" w:hAnsi="Arial" w:cs="Arial"/>
          <w:sz w:val="24"/>
          <w:szCs w:val="24"/>
          <w:vertAlign w:val="superscript"/>
        </w:rPr>
        <w:t>12</w:t>
      </w:r>
      <w:proofErr w:type="gramStart"/>
      <w:r w:rsidRPr="006D03D6">
        <w:rPr>
          <w:rFonts w:ascii="Arial" w:hAnsi="Arial" w:cs="Arial"/>
          <w:sz w:val="24"/>
          <w:szCs w:val="24"/>
          <w:vertAlign w:val="superscript"/>
        </w:rPr>
        <w:t>,14,25,27</w:t>
      </w:r>
      <w:proofErr w:type="gramEnd"/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03D6">
        <w:rPr>
          <w:rFonts w:ascii="Arial" w:hAnsi="Arial" w:cs="Arial"/>
          <w:sz w:val="24"/>
          <w:szCs w:val="24"/>
        </w:rPr>
        <w:t xml:space="preserve">En Suecia, al igual que en EEUU, fue prohibida la </w:t>
      </w:r>
      <w:proofErr w:type="spellStart"/>
      <w:r w:rsidRPr="006D03D6">
        <w:rPr>
          <w:rFonts w:ascii="Arial" w:hAnsi="Arial" w:cs="Arial"/>
          <w:sz w:val="24"/>
          <w:szCs w:val="24"/>
        </w:rPr>
        <w:t>Dipirona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en los años setenta del siglo pasado con un estudio inicial que reportó un riesgo para </w:t>
      </w:r>
      <w:proofErr w:type="spellStart"/>
      <w:r w:rsidRPr="006D03D6">
        <w:rPr>
          <w:rFonts w:ascii="Arial" w:hAnsi="Arial" w:cs="Arial"/>
          <w:sz w:val="24"/>
          <w:szCs w:val="24"/>
        </w:rPr>
        <w:t>agranulocitosis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de 1 en 3000 usuarios calculado para el año 1973.</w:t>
      </w:r>
      <w:r w:rsidRPr="006D03D6">
        <w:rPr>
          <w:rFonts w:ascii="Arial" w:hAnsi="Arial" w:cs="Arial"/>
          <w:sz w:val="24"/>
          <w:szCs w:val="24"/>
          <w:vertAlign w:val="superscript"/>
        </w:rPr>
        <w:t>28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03D6">
        <w:rPr>
          <w:rFonts w:ascii="Arial" w:hAnsi="Arial" w:cs="Arial"/>
          <w:sz w:val="24"/>
          <w:szCs w:val="24"/>
        </w:rPr>
        <w:t xml:space="preserve">En 1995, posterior a los nuevos datos suministrados por el IAAAS, se autorizó nuevamente la formulación de </w:t>
      </w:r>
      <w:proofErr w:type="spellStart"/>
      <w:r w:rsidRPr="006D03D6">
        <w:rPr>
          <w:rFonts w:ascii="Arial" w:hAnsi="Arial" w:cs="Arial"/>
          <w:sz w:val="24"/>
          <w:szCs w:val="24"/>
        </w:rPr>
        <w:t>Dipirona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en Suecia, para ser retirada nuevamente en el año 1999 por evidenciar un rebrote de casos de </w:t>
      </w:r>
      <w:proofErr w:type="spellStart"/>
      <w:r w:rsidRPr="006D03D6">
        <w:rPr>
          <w:rFonts w:ascii="Arial" w:hAnsi="Arial" w:cs="Arial"/>
          <w:sz w:val="24"/>
          <w:szCs w:val="24"/>
        </w:rPr>
        <w:t>agranulocitosis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asociado con su uso </w:t>
      </w:r>
      <w:proofErr w:type="gramStart"/>
      <w:r w:rsidRPr="006D03D6">
        <w:rPr>
          <w:rFonts w:ascii="Arial" w:hAnsi="Arial" w:cs="Arial"/>
          <w:sz w:val="24"/>
          <w:szCs w:val="24"/>
        </w:rPr>
        <w:t>29 .</w:t>
      </w:r>
      <w:proofErr w:type="gramEnd"/>
      <w:r w:rsidRPr="006D03D6">
        <w:rPr>
          <w:rFonts w:ascii="Arial" w:hAnsi="Arial" w:cs="Arial"/>
          <w:sz w:val="24"/>
          <w:szCs w:val="24"/>
        </w:rPr>
        <w:t xml:space="preserve"> En el año 2002, un estudio Sueco recopiló los casos de </w:t>
      </w:r>
      <w:proofErr w:type="spellStart"/>
      <w:r w:rsidRPr="006D03D6">
        <w:rPr>
          <w:rFonts w:ascii="Arial" w:hAnsi="Arial" w:cs="Arial"/>
          <w:sz w:val="24"/>
          <w:szCs w:val="24"/>
        </w:rPr>
        <w:t>agranulocitosis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relacionados con la </w:t>
      </w:r>
      <w:proofErr w:type="spellStart"/>
      <w:r w:rsidRPr="006D03D6">
        <w:rPr>
          <w:rFonts w:ascii="Arial" w:hAnsi="Arial" w:cs="Arial"/>
          <w:sz w:val="24"/>
          <w:szCs w:val="24"/>
        </w:rPr>
        <w:t>Dipirona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durante los años que se permitió su reformulación.</w:t>
      </w:r>
      <w:r w:rsidRPr="006D03D6">
        <w:rPr>
          <w:rFonts w:ascii="Arial" w:hAnsi="Arial" w:cs="Arial"/>
          <w:sz w:val="24"/>
          <w:szCs w:val="24"/>
          <w:vertAlign w:val="superscript"/>
        </w:rPr>
        <w:t>29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D03D6">
        <w:rPr>
          <w:rFonts w:ascii="Arial" w:hAnsi="Arial" w:cs="Arial"/>
          <w:sz w:val="24"/>
          <w:szCs w:val="24"/>
          <w:u w:val="single"/>
        </w:rPr>
        <w:t>Latinoamérica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03D6">
        <w:rPr>
          <w:rFonts w:ascii="Arial" w:hAnsi="Arial" w:cs="Arial"/>
          <w:sz w:val="24"/>
          <w:szCs w:val="24"/>
        </w:rPr>
        <w:t xml:space="preserve">El estudio LATIN 12, conducido en Brasil Argentina y México, incluyó a pacientes de clínicas hematológicas con </w:t>
      </w:r>
      <w:proofErr w:type="spellStart"/>
      <w:r w:rsidRPr="006D03D6">
        <w:rPr>
          <w:rFonts w:ascii="Arial" w:hAnsi="Arial" w:cs="Arial"/>
          <w:sz w:val="24"/>
          <w:szCs w:val="24"/>
        </w:rPr>
        <w:t>agranulocitosis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y buscó posibles asociaciones entre fármacos administrados a estos pacientes y la aparición de </w:t>
      </w:r>
      <w:proofErr w:type="spellStart"/>
      <w:r w:rsidRPr="006D03D6">
        <w:rPr>
          <w:rFonts w:ascii="Arial" w:hAnsi="Arial" w:cs="Arial"/>
          <w:sz w:val="24"/>
          <w:szCs w:val="24"/>
        </w:rPr>
        <w:t>agranulocitosis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, encontrándose una incidencia total de </w:t>
      </w:r>
      <w:proofErr w:type="spellStart"/>
      <w:r w:rsidRPr="006D03D6">
        <w:rPr>
          <w:rFonts w:ascii="Arial" w:hAnsi="Arial" w:cs="Arial"/>
          <w:sz w:val="24"/>
          <w:szCs w:val="24"/>
        </w:rPr>
        <w:t>agranulocitosis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de 0.38 casos por millón. Como dato importante estos pacientes consumían medicamentos previamente relacionados con la aparición de </w:t>
      </w:r>
      <w:proofErr w:type="spellStart"/>
      <w:r w:rsidRPr="006D03D6">
        <w:rPr>
          <w:rFonts w:ascii="Arial" w:hAnsi="Arial" w:cs="Arial"/>
          <w:sz w:val="24"/>
          <w:szCs w:val="24"/>
        </w:rPr>
        <w:t>agranulocitosis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, sobre todo </w:t>
      </w:r>
      <w:proofErr w:type="spellStart"/>
      <w:r w:rsidRPr="006D03D6">
        <w:rPr>
          <w:rFonts w:ascii="Arial" w:hAnsi="Arial" w:cs="Arial"/>
          <w:sz w:val="24"/>
          <w:szCs w:val="24"/>
        </w:rPr>
        <w:t>dipirona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D03D6">
        <w:rPr>
          <w:rFonts w:ascii="Arial" w:hAnsi="Arial" w:cs="Arial"/>
          <w:sz w:val="24"/>
          <w:szCs w:val="24"/>
        </w:rPr>
        <w:t>agranulocitosis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, según este estudio, es una condición muy rara en </w:t>
      </w:r>
      <w:proofErr w:type="spellStart"/>
      <w:r w:rsidRPr="006D03D6">
        <w:rPr>
          <w:rFonts w:ascii="Arial" w:hAnsi="Arial" w:cs="Arial"/>
          <w:sz w:val="24"/>
          <w:szCs w:val="24"/>
        </w:rPr>
        <w:t>latinoamérica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, que imposibilita la asociación del riesgo con el uso de fármacos individuales, con la excepción de la </w:t>
      </w:r>
      <w:proofErr w:type="spellStart"/>
      <w:r w:rsidRPr="006D03D6">
        <w:rPr>
          <w:rFonts w:ascii="Arial" w:hAnsi="Arial" w:cs="Arial"/>
          <w:sz w:val="24"/>
          <w:szCs w:val="24"/>
        </w:rPr>
        <w:t>dipirona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. 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D03D6">
        <w:rPr>
          <w:rFonts w:ascii="Arial" w:hAnsi="Arial" w:cs="Arial"/>
          <w:b/>
          <w:bCs/>
          <w:sz w:val="24"/>
          <w:szCs w:val="24"/>
          <w:u w:val="single"/>
        </w:rPr>
        <w:t>CONCLUSIONES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03D6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6D03D6">
        <w:rPr>
          <w:rFonts w:ascii="Arial" w:hAnsi="Arial" w:cs="Arial"/>
          <w:sz w:val="24"/>
          <w:szCs w:val="24"/>
        </w:rPr>
        <w:t>Agranulocitosis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es una enfermedad rara, que se asocia al uso de la </w:t>
      </w:r>
      <w:proofErr w:type="spellStart"/>
      <w:r w:rsidRPr="006D03D6">
        <w:rPr>
          <w:rFonts w:ascii="Arial" w:hAnsi="Arial" w:cs="Arial"/>
          <w:sz w:val="24"/>
          <w:szCs w:val="24"/>
        </w:rPr>
        <w:t>Dipirona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, pero la cuantificación de este riesgo aún es debatida. Dada la alta frecuencia de administración de </w:t>
      </w:r>
      <w:proofErr w:type="spellStart"/>
      <w:r w:rsidRPr="006D03D6">
        <w:rPr>
          <w:rFonts w:ascii="Arial" w:hAnsi="Arial" w:cs="Arial"/>
          <w:sz w:val="24"/>
          <w:szCs w:val="24"/>
        </w:rPr>
        <w:t>dipirona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en nuestro medio y la incidencia dispar de </w:t>
      </w:r>
      <w:proofErr w:type="spellStart"/>
      <w:r w:rsidRPr="006D03D6">
        <w:rPr>
          <w:rFonts w:ascii="Arial" w:hAnsi="Arial" w:cs="Arial"/>
          <w:sz w:val="24"/>
          <w:szCs w:val="24"/>
        </w:rPr>
        <w:t>agranulocitosis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reportada en diferentes países, se hace necesario tipificar los factores de </w:t>
      </w:r>
      <w:proofErr w:type="gramStart"/>
      <w:r w:rsidRPr="006D03D6">
        <w:rPr>
          <w:rFonts w:ascii="Arial" w:hAnsi="Arial" w:cs="Arial"/>
          <w:sz w:val="24"/>
          <w:szCs w:val="24"/>
        </w:rPr>
        <w:t xml:space="preserve">riesgo individuales y </w:t>
      </w:r>
      <w:r w:rsidRPr="006D03D6">
        <w:rPr>
          <w:rFonts w:ascii="Arial" w:hAnsi="Arial" w:cs="Arial"/>
          <w:sz w:val="24"/>
          <w:szCs w:val="24"/>
        </w:rPr>
        <w:lastRenderedPageBreak/>
        <w:t>poblacionales</w:t>
      </w:r>
      <w:proofErr w:type="gramEnd"/>
      <w:r w:rsidRPr="006D03D6">
        <w:rPr>
          <w:rFonts w:ascii="Arial" w:hAnsi="Arial" w:cs="Arial"/>
          <w:sz w:val="24"/>
          <w:szCs w:val="24"/>
        </w:rPr>
        <w:t xml:space="preserve"> para obtener información precisa acerca de los mecanismos de toxicidad de </w:t>
      </w:r>
      <w:proofErr w:type="spellStart"/>
      <w:r w:rsidRPr="006D03D6">
        <w:rPr>
          <w:rFonts w:ascii="Arial" w:hAnsi="Arial" w:cs="Arial"/>
          <w:sz w:val="24"/>
          <w:szCs w:val="24"/>
        </w:rPr>
        <w:t>dipirona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y así tener herramientas para tomar una decisión terapéutica segura con los pacientes.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03D6">
        <w:rPr>
          <w:rFonts w:ascii="Arial" w:hAnsi="Arial" w:cs="Arial"/>
          <w:sz w:val="24"/>
          <w:szCs w:val="24"/>
        </w:rPr>
        <w:t xml:space="preserve">Es indudable que existe una relación entre su aparición y el uso de derivados de la </w:t>
      </w:r>
      <w:proofErr w:type="spellStart"/>
      <w:r w:rsidRPr="006D03D6">
        <w:rPr>
          <w:rFonts w:ascii="Arial" w:hAnsi="Arial" w:cs="Arial"/>
          <w:sz w:val="24"/>
          <w:szCs w:val="24"/>
        </w:rPr>
        <w:t>Pirazolonas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entre estas la </w:t>
      </w:r>
      <w:proofErr w:type="spellStart"/>
      <w:r w:rsidRPr="006D03D6">
        <w:rPr>
          <w:rFonts w:ascii="Arial" w:hAnsi="Arial" w:cs="Arial"/>
          <w:sz w:val="24"/>
          <w:szCs w:val="24"/>
        </w:rPr>
        <w:t>Dipirona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. El debate ha sido la cuantificación de este riesgo , existiendo incluso reportes que ubican a la </w:t>
      </w:r>
      <w:proofErr w:type="spellStart"/>
      <w:r w:rsidRPr="006D03D6">
        <w:rPr>
          <w:rFonts w:ascii="Arial" w:hAnsi="Arial" w:cs="Arial"/>
          <w:sz w:val="24"/>
          <w:szCs w:val="24"/>
        </w:rPr>
        <w:t>Dipirona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en un rango de seguridad terapéutica al mismo nivel que el acetaminofén, al haber calculado su riesgo absoluto de mortalidad en 25 muertes por 100 millones de usuarios, similar al paracetamol (que </w:t>
      </w:r>
      <w:proofErr w:type="spellStart"/>
      <w:r w:rsidRPr="006D03D6">
        <w:rPr>
          <w:rFonts w:ascii="Arial" w:hAnsi="Arial" w:cs="Arial"/>
          <w:sz w:val="24"/>
          <w:szCs w:val="24"/>
        </w:rPr>
        <w:t>esta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en 20) y muy por debajo de la aspirina (185 por 100 millones) y el </w:t>
      </w:r>
      <w:proofErr w:type="spellStart"/>
      <w:r w:rsidRPr="006D03D6">
        <w:rPr>
          <w:rFonts w:ascii="Arial" w:hAnsi="Arial" w:cs="Arial"/>
          <w:sz w:val="24"/>
          <w:szCs w:val="24"/>
        </w:rPr>
        <w:t>diclofenaco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(592 por 100 millones), las cuales se asocian a complicaciones gastrointestinales, en especial por los sangrados digestivos </w:t>
      </w:r>
      <w:r w:rsidRPr="006D03D6">
        <w:rPr>
          <w:rFonts w:ascii="Arial" w:hAnsi="Arial" w:cs="Arial"/>
          <w:sz w:val="24"/>
          <w:szCs w:val="24"/>
          <w:vertAlign w:val="superscript"/>
        </w:rPr>
        <w:t>30 .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03D6">
        <w:rPr>
          <w:rFonts w:ascii="Arial" w:hAnsi="Arial" w:cs="Arial"/>
          <w:sz w:val="24"/>
          <w:szCs w:val="24"/>
        </w:rPr>
        <w:t xml:space="preserve">No se han descrito los mecanismos moleculares e inmunológicos que expliquen los efectos tóxicos de la </w:t>
      </w:r>
      <w:proofErr w:type="spellStart"/>
      <w:r w:rsidRPr="006D03D6">
        <w:rPr>
          <w:rFonts w:ascii="Arial" w:hAnsi="Arial" w:cs="Arial"/>
          <w:sz w:val="24"/>
          <w:szCs w:val="24"/>
        </w:rPr>
        <w:t>Dipirona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y su relación con la aparición de </w:t>
      </w:r>
      <w:proofErr w:type="spellStart"/>
      <w:r w:rsidRPr="006D03D6">
        <w:rPr>
          <w:rFonts w:ascii="Arial" w:hAnsi="Arial" w:cs="Arial"/>
          <w:sz w:val="24"/>
          <w:szCs w:val="24"/>
        </w:rPr>
        <w:t>agranulocitosis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en una perspectiva causa-efecto, por ejemplo, la presencia de anticuerpos contra neutrófilos podría ser un fenómeno en paralelo y no un fenómeno causal que explique la neutropenia periférica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03D6">
        <w:rPr>
          <w:rFonts w:ascii="Arial" w:hAnsi="Arial" w:cs="Arial"/>
          <w:sz w:val="24"/>
          <w:szCs w:val="24"/>
        </w:rPr>
        <w:t xml:space="preserve">Así mismo, por ser la </w:t>
      </w:r>
      <w:proofErr w:type="spellStart"/>
      <w:r w:rsidRPr="006D03D6">
        <w:rPr>
          <w:rFonts w:ascii="Arial" w:hAnsi="Arial" w:cs="Arial"/>
          <w:sz w:val="24"/>
          <w:szCs w:val="24"/>
        </w:rPr>
        <w:t>agranulocitosis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un efecto adverso raro aun entre los expuestos, sin datos claros sobre la relación exposición-riesgo, los estudios que se diseñen paran responder este interrogante deben tener en cuenta el tipo de exposición, las características singulares de la persona expuesta, la duración de la exposición y considerar el riesgo una vez se haya descontinuado su uso. Durante la formulación de la </w:t>
      </w:r>
      <w:proofErr w:type="spellStart"/>
      <w:r w:rsidRPr="006D03D6">
        <w:rPr>
          <w:rFonts w:ascii="Arial" w:hAnsi="Arial" w:cs="Arial"/>
          <w:sz w:val="24"/>
          <w:szCs w:val="24"/>
        </w:rPr>
        <w:t>Dipirona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se deben tener presentes especialmente sus eventos adversos más frecuentes como hipotensión y reacciones de hipersensibilidad inmediata que la probable aparición de una discrasia sanguínea </w:t>
      </w:r>
      <w:proofErr w:type="spellStart"/>
      <w:r w:rsidRPr="006D03D6">
        <w:rPr>
          <w:rFonts w:ascii="Arial" w:hAnsi="Arial" w:cs="Arial"/>
          <w:sz w:val="24"/>
          <w:szCs w:val="24"/>
        </w:rPr>
        <w:t>secundariacon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su uso.</w:t>
      </w:r>
      <w:r w:rsidRPr="006D03D6">
        <w:rPr>
          <w:rFonts w:ascii="Arial" w:hAnsi="Arial" w:cs="Arial"/>
          <w:sz w:val="24"/>
          <w:szCs w:val="24"/>
          <w:vertAlign w:val="superscript"/>
        </w:rPr>
        <w:t>31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03D6">
        <w:rPr>
          <w:rFonts w:ascii="Arial" w:hAnsi="Arial" w:cs="Arial"/>
          <w:sz w:val="24"/>
          <w:szCs w:val="24"/>
        </w:rPr>
        <w:t xml:space="preserve">Se han propuesto diversos factores que podrían contribuir con la aparición de la </w:t>
      </w:r>
      <w:proofErr w:type="spellStart"/>
      <w:r w:rsidRPr="006D03D6">
        <w:rPr>
          <w:rFonts w:ascii="Arial" w:hAnsi="Arial" w:cs="Arial"/>
          <w:sz w:val="24"/>
          <w:szCs w:val="24"/>
        </w:rPr>
        <w:t>agranulocitosis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como lo son la exposición a dosis altas, tratamiento prolongado (más de 14 días), sexo femenino, edad mayor de 65 años, interacciones farmacológicas y predisposición genética.11 (</w:t>
      </w:r>
      <w:proofErr w:type="spellStart"/>
      <w:r w:rsidRPr="006D03D6">
        <w:rPr>
          <w:rFonts w:ascii="Arial" w:hAnsi="Arial" w:cs="Arial"/>
          <w:color w:val="FF0000"/>
          <w:sz w:val="24"/>
          <w:szCs w:val="24"/>
        </w:rPr>
        <w:t>Granulocipenia</w:t>
      </w:r>
      <w:r w:rsidRPr="006D03D6">
        <w:rPr>
          <w:rFonts w:ascii="Arial" w:hAnsi="Arial" w:cs="Arial"/>
          <w:sz w:val="24"/>
          <w:szCs w:val="24"/>
        </w:rPr>
        <w:t>x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3D6">
        <w:rPr>
          <w:rFonts w:ascii="Arial" w:hAnsi="Arial" w:cs="Arial"/>
          <w:sz w:val="24"/>
          <w:szCs w:val="24"/>
        </w:rPr>
        <w:t>Dipirona</w:t>
      </w:r>
      <w:proofErr w:type="spellEnd"/>
      <w:r w:rsidRPr="006D03D6">
        <w:rPr>
          <w:rFonts w:ascii="Arial" w:hAnsi="Arial" w:cs="Arial"/>
          <w:sz w:val="24"/>
          <w:szCs w:val="24"/>
        </w:rPr>
        <w:t>).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D03D6">
        <w:rPr>
          <w:rFonts w:ascii="Arial" w:hAnsi="Arial" w:cs="Arial"/>
          <w:b/>
          <w:bCs/>
          <w:sz w:val="24"/>
          <w:szCs w:val="24"/>
        </w:rPr>
        <w:t>BIBLIOGRAFÍA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03D6">
        <w:rPr>
          <w:rFonts w:ascii="Arial" w:hAnsi="Arial" w:cs="Arial"/>
          <w:sz w:val="24"/>
          <w:szCs w:val="24"/>
        </w:rPr>
        <w:lastRenderedPageBreak/>
        <w:t xml:space="preserve">1. Arcila-Herrera H, Barragán-Padilla </w:t>
      </w:r>
      <w:proofErr w:type="spellStart"/>
      <w:r w:rsidRPr="006D03D6">
        <w:rPr>
          <w:rFonts w:ascii="Arial" w:hAnsi="Arial" w:cs="Arial"/>
          <w:sz w:val="24"/>
          <w:szCs w:val="24"/>
        </w:rPr>
        <w:t>S</w:t>
      </w:r>
      <w:proofErr w:type="gramStart"/>
      <w:r w:rsidRPr="006D03D6">
        <w:rPr>
          <w:rFonts w:ascii="Arial" w:hAnsi="Arial" w:cs="Arial"/>
          <w:sz w:val="24"/>
          <w:szCs w:val="24"/>
        </w:rPr>
        <w:t>,Borbolla</w:t>
      </w:r>
      <w:proofErr w:type="gramEnd"/>
      <w:r w:rsidRPr="006D03D6">
        <w:rPr>
          <w:rFonts w:ascii="Arial" w:hAnsi="Arial" w:cs="Arial"/>
          <w:sz w:val="24"/>
          <w:szCs w:val="24"/>
        </w:rPr>
        <w:t>-Escoboza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JR, Canto-</w:t>
      </w:r>
      <w:proofErr w:type="spellStart"/>
      <w:r w:rsidRPr="006D03D6">
        <w:rPr>
          <w:rFonts w:ascii="Arial" w:hAnsi="Arial" w:cs="Arial"/>
          <w:sz w:val="24"/>
          <w:szCs w:val="24"/>
        </w:rPr>
        <w:t>SolísA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, Castañeda-Hernández G, De León-González M, et al. Consenso de </w:t>
      </w:r>
      <w:proofErr w:type="spellStart"/>
      <w:r w:rsidRPr="006D03D6">
        <w:rPr>
          <w:rFonts w:ascii="Arial" w:hAnsi="Arial" w:cs="Arial"/>
          <w:sz w:val="24"/>
          <w:szCs w:val="24"/>
        </w:rPr>
        <w:t>ungrupo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de expertos mexicanos, eficacia </w:t>
      </w:r>
      <w:proofErr w:type="spellStart"/>
      <w:r w:rsidRPr="006D03D6">
        <w:rPr>
          <w:rFonts w:ascii="Arial" w:hAnsi="Arial" w:cs="Arial"/>
          <w:sz w:val="24"/>
          <w:szCs w:val="24"/>
        </w:rPr>
        <w:t>yseguridad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6D03D6">
        <w:rPr>
          <w:rFonts w:ascii="Arial" w:hAnsi="Arial" w:cs="Arial"/>
          <w:sz w:val="24"/>
          <w:szCs w:val="24"/>
        </w:rPr>
        <w:t>metamizol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D03D6">
        <w:rPr>
          <w:rFonts w:ascii="Arial" w:hAnsi="Arial" w:cs="Arial"/>
          <w:sz w:val="24"/>
          <w:szCs w:val="24"/>
        </w:rPr>
        <w:t>dipirona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). </w:t>
      </w:r>
      <w:proofErr w:type="spellStart"/>
      <w:proofErr w:type="gramStart"/>
      <w:r w:rsidRPr="006D03D6">
        <w:rPr>
          <w:rFonts w:ascii="Arial" w:hAnsi="Arial" w:cs="Arial"/>
          <w:sz w:val="24"/>
          <w:szCs w:val="24"/>
          <w:lang w:val="en-US"/>
        </w:rPr>
        <w:t>GacMedMex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6D03D6">
        <w:rPr>
          <w:rFonts w:ascii="Arial" w:hAnsi="Arial" w:cs="Arial"/>
          <w:sz w:val="24"/>
          <w:szCs w:val="24"/>
          <w:lang w:val="en-US"/>
        </w:rPr>
        <w:t xml:space="preserve"> 2004; 140(1):99-101.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6D03D6">
        <w:rPr>
          <w:rFonts w:ascii="Arial" w:hAnsi="Arial" w:cs="Arial"/>
          <w:sz w:val="24"/>
          <w:szCs w:val="24"/>
          <w:lang w:val="en-US"/>
        </w:rPr>
        <w:t xml:space="preserve">2.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Huguley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CM.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Agranulocytosisinduced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by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dipirone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, a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hazardousantipyretic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and analgesic.</w:t>
      </w:r>
      <w:proofErr w:type="gramEnd"/>
      <w:r w:rsidRPr="006D03D6">
        <w:rPr>
          <w:rFonts w:ascii="Arial" w:hAnsi="Arial" w:cs="Arial"/>
          <w:sz w:val="24"/>
          <w:szCs w:val="24"/>
          <w:lang w:val="en-US"/>
        </w:rPr>
        <w:t xml:space="preserve"> JAMA.1964; 189:162-5. DOI:10.1001/jama.1964.03070120060014.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03D6">
        <w:rPr>
          <w:rFonts w:ascii="Arial" w:hAnsi="Arial" w:cs="Arial"/>
          <w:sz w:val="24"/>
          <w:szCs w:val="24"/>
          <w:lang w:val="en-US"/>
        </w:rPr>
        <w:t xml:space="preserve">3. Depart O, Majesty H. </w:t>
      </w:r>
      <w:proofErr w:type="gramStart"/>
      <w:r w:rsidRPr="006D03D6">
        <w:rPr>
          <w:rFonts w:ascii="Arial" w:hAnsi="Arial" w:cs="Arial"/>
          <w:sz w:val="24"/>
          <w:szCs w:val="24"/>
          <w:lang w:val="en-US"/>
        </w:rPr>
        <w:t xml:space="preserve">Many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among.Canad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Med Ass J. 1964; 91:1229-30.</w:t>
      </w:r>
      <w:proofErr w:type="gramEnd"/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03D6">
        <w:rPr>
          <w:rFonts w:ascii="Arial" w:hAnsi="Arial" w:cs="Arial"/>
          <w:sz w:val="24"/>
          <w:szCs w:val="24"/>
          <w:lang w:val="en-US"/>
        </w:rPr>
        <w:t xml:space="preserve">4.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Hinz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B,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Cheremina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O,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BachmakovJ,Renner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B,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Zolk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O, Fromm MF, et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al.Dipyrone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elicits substantial inhibition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ofperipheral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cyclooxygenases in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humans:new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insights into the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pharmacologyof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an old analgesic. FASEB J. 2007</w:t>
      </w:r>
      <w:proofErr w:type="gramStart"/>
      <w:r w:rsidRPr="006D03D6">
        <w:rPr>
          <w:rFonts w:ascii="Arial" w:hAnsi="Arial" w:cs="Arial"/>
          <w:sz w:val="24"/>
          <w:szCs w:val="24"/>
          <w:lang w:val="en-US"/>
        </w:rPr>
        <w:t>;21</w:t>
      </w:r>
      <w:proofErr w:type="gramEnd"/>
      <w:r w:rsidRPr="006D03D6">
        <w:rPr>
          <w:rFonts w:ascii="Arial" w:hAnsi="Arial" w:cs="Arial"/>
          <w:sz w:val="24"/>
          <w:szCs w:val="24"/>
          <w:lang w:val="en-US"/>
        </w:rPr>
        <w:t>(10):2343-51. DOI:10.1096/fj.06-8061com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03D6">
        <w:rPr>
          <w:rFonts w:ascii="Arial" w:hAnsi="Arial" w:cs="Arial"/>
          <w:sz w:val="24"/>
          <w:szCs w:val="24"/>
          <w:lang w:val="en-US"/>
        </w:rPr>
        <w:t xml:space="preserve">5. United Nations. Consolidated list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ofproducts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whose consumption and/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orsale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have been banned,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withdrawn</w:t>
      </w:r>
      <w:proofErr w:type="gramStart"/>
      <w:r w:rsidRPr="006D03D6">
        <w:rPr>
          <w:rFonts w:ascii="Arial" w:hAnsi="Arial" w:cs="Arial"/>
          <w:sz w:val="24"/>
          <w:szCs w:val="24"/>
          <w:lang w:val="en-US"/>
        </w:rPr>
        <w:t>,severely</w:t>
      </w:r>
      <w:proofErr w:type="spellEnd"/>
      <w:proofErr w:type="gramEnd"/>
      <w:r w:rsidRPr="006D03D6">
        <w:rPr>
          <w:rFonts w:ascii="Arial" w:hAnsi="Arial" w:cs="Arial"/>
          <w:sz w:val="24"/>
          <w:szCs w:val="24"/>
          <w:lang w:val="en-US"/>
        </w:rPr>
        <w:t xml:space="preserve"> restricted or not approved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bygovernments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fourteenth issue. Econ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SocAff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. </w:t>
      </w:r>
      <w:proofErr w:type="gramStart"/>
      <w:r w:rsidRPr="006D03D6">
        <w:rPr>
          <w:rFonts w:ascii="Arial" w:hAnsi="Arial" w:cs="Arial"/>
          <w:sz w:val="24"/>
          <w:szCs w:val="24"/>
          <w:lang w:val="en-US"/>
        </w:rPr>
        <w:t>2005; (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Twelf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Issue).</w:t>
      </w:r>
      <w:proofErr w:type="gramEnd"/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03D6">
        <w:rPr>
          <w:rFonts w:ascii="Arial" w:hAnsi="Arial" w:cs="Arial"/>
          <w:sz w:val="24"/>
          <w:szCs w:val="24"/>
          <w:lang w:val="en-US"/>
        </w:rPr>
        <w:t xml:space="preserve">6.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Abdalla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SO,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Elouzi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AA, Saad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SE,Eddin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MD,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Nagaah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T A. Study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onthe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relationship between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geneticpolymorphisms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of cytochrome CYP2C19and metabolic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bioactivation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of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dipyrone.J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ChemPharm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Res. 2014; 6(6):992-9.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D03D6">
        <w:rPr>
          <w:rFonts w:ascii="Arial" w:hAnsi="Arial" w:cs="Arial"/>
          <w:sz w:val="24"/>
          <w:szCs w:val="24"/>
          <w:lang w:val="pt-BR"/>
        </w:rPr>
        <w:t xml:space="preserve">7. </w:t>
      </w:r>
      <w:proofErr w:type="spellStart"/>
      <w:r w:rsidRPr="006D03D6">
        <w:rPr>
          <w:rFonts w:ascii="Arial" w:hAnsi="Arial" w:cs="Arial"/>
          <w:sz w:val="24"/>
          <w:szCs w:val="24"/>
          <w:lang w:val="pt-BR"/>
        </w:rPr>
        <w:t>Malvar</w:t>
      </w:r>
      <w:proofErr w:type="spellEnd"/>
      <w:r w:rsidRPr="006D03D6">
        <w:rPr>
          <w:rFonts w:ascii="Arial" w:hAnsi="Arial" w:cs="Arial"/>
          <w:sz w:val="24"/>
          <w:szCs w:val="24"/>
          <w:lang w:val="pt-BR"/>
        </w:rPr>
        <w:t xml:space="preserve"> DDC, Soares DM, Fabrício </w:t>
      </w:r>
      <w:proofErr w:type="spellStart"/>
      <w:proofErr w:type="gramStart"/>
      <w:r w:rsidRPr="006D03D6">
        <w:rPr>
          <w:rFonts w:ascii="Arial" w:hAnsi="Arial" w:cs="Arial"/>
          <w:sz w:val="24"/>
          <w:szCs w:val="24"/>
          <w:lang w:val="pt-BR"/>
        </w:rPr>
        <w:t>ASC,</w:t>
      </w:r>
      <w:proofErr w:type="gramEnd"/>
      <w:r w:rsidRPr="006D03D6">
        <w:rPr>
          <w:rFonts w:ascii="Arial" w:hAnsi="Arial" w:cs="Arial"/>
          <w:sz w:val="24"/>
          <w:szCs w:val="24"/>
          <w:lang w:val="pt-BR"/>
        </w:rPr>
        <w:t>Kanashiro</w:t>
      </w:r>
      <w:proofErr w:type="spellEnd"/>
      <w:r w:rsidRPr="006D03D6">
        <w:rPr>
          <w:rFonts w:ascii="Arial" w:hAnsi="Arial" w:cs="Arial"/>
          <w:sz w:val="24"/>
          <w:szCs w:val="24"/>
          <w:lang w:val="pt-BR"/>
        </w:rPr>
        <w:t xml:space="preserve"> A, </w:t>
      </w:r>
      <w:proofErr w:type="spellStart"/>
      <w:r w:rsidRPr="006D03D6">
        <w:rPr>
          <w:rFonts w:ascii="Arial" w:hAnsi="Arial" w:cs="Arial"/>
          <w:sz w:val="24"/>
          <w:szCs w:val="24"/>
          <w:lang w:val="pt-BR"/>
        </w:rPr>
        <w:t>MacHado</w:t>
      </w:r>
      <w:proofErr w:type="spellEnd"/>
      <w:r w:rsidRPr="006D03D6">
        <w:rPr>
          <w:rFonts w:ascii="Arial" w:hAnsi="Arial" w:cs="Arial"/>
          <w:sz w:val="24"/>
          <w:szCs w:val="24"/>
          <w:lang w:val="pt-BR"/>
        </w:rPr>
        <w:t xml:space="preserve"> RR, Figueiredo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proofErr w:type="gramStart"/>
      <w:r w:rsidRPr="006D03D6">
        <w:rPr>
          <w:rFonts w:ascii="Arial" w:hAnsi="Arial" w:cs="Arial"/>
          <w:sz w:val="24"/>
          <w:szCs w:val="24"/>
          <w:lang w:val="en-US"/>
        </w:rPr>
        <w:t>MJ, et al.</w:t>
      </w:r>
      <w:proofErr w:type="gramEnd"/>
      <w:r w:rsidRPr="006D03D6">
        <w:rPr>
          <w:rFonts w:ascii="Arial" w:hAnsi="Arial" w:cs="Arial"/>
          <w:sz w:val="24"/>
          <w:szCs w:val="24"/>
          <w:lang w:val="en-US"/>
        </w:rPr>
        <w:t xml:space="preserve"> The antipyretic effect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ofdipyrone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is unrelated to inhibition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ofPGE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2 synthesis in the hypothalamus. </w:t>
      </w:r>
      <w:r w:rsidRPr="006D03D6">
        <w:rPr>
          <w:rFonts w:ascii="Arial" w:hAnsi="Arial" w:cs="Arial"/>
          <w:sz w:val="24"/>
          <w:szCs w:val="24"/>
          <w:lang w:val="it-IT"/>
        </w:rPr>
        <w:t>BrJ Pharmacol. 2011;162(6):1401-9. DOI:10.1111/j.1476-5381.2010.01150.x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D03D6">
        <w:rPr>
          <w:rFonts w:ascii="Arial" w:hAnsi="Arial" w:cs="Arial"/>
          <w:sz w:val="24"/>
          <w:szCs w:val="24"/>
          <w:lang w:val="it-IT"/>
        </w:rPr>
        <w:t xml:space="preserve">8. Nassini R, Fusi C, Materazzi S, CoppiE, Tuccinardi T, Marone IM, et al. </w:t>
      </w:r>
      <w:r w:rsidRPr="006D03D6">
        <w:rPr>
          <w:rFonts w:ascii="Arial" w:hAnsi="Arial" w:cs="Arial"/>
          <w:sz w:val="24"/>
          <w:szCs w:val="24"/>
          <w:lang w:val="en-US"/>
        </w:rPr>
        <w:t xml:space="preserve">TheTRPA1 channel mediates the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analgesicaction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of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dipyrone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and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pyrazolonederivatives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. </w:t>
      </w:r>
      <w:proofErr w:type="gramStart"/>
      <w:r w:rsidRPr="006D03D6">
        <w:rPr>
          <w:rFonts w:ascii="Arial" w:hAnsi="Arial" w:cs="Arial"/>
          <w:sz w:val="24"/>
          <w:szCs w:val="24"/>
          <w:lang w:val="en-US"/>
        </w:rPr>
        <w:t xml:space="preserve">Br J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Pharmacol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6D03D6">
        <w:rPr>
          <w:rFonts w:ascii="Arial" w:hAnsi="Arial" w:cs="Arial"/>
          <w:sz w:val="24"/>
          <w:szCs w:val="24"/>
          <w:lang w:val="en-US"/>
        </w:rPr>
        <w:t xml:space="preserve"> </w:t>
      </w:r>
      <w:r w:rsidRPr="006D03D6">
        <w:rPr>
          <w:rFonts w:ascii="Arial" w:hAnsi="Arial" w:cs="Arial"/>
          <w:sz w:val="24"/>
          <w:szCs w:val="24"/>
          <w:lang w:val="pt-BR"/>
        </w:rPr>
        <w:t xml:space="preserve">2015. </w:t>
      </w:r>
      <w:proofErr w:type="gramStart"/>
      <w:r w:rsidRPr="006D03D6">
        <w:rPr>
          <w:rFonts w:ascii="Arial" w:hAnsi="Arial" w:cs="Arial"/>
          <w:sz w:val="24"/>
          <w:szCs w:val="24"/>
          <w:lang w:val="pt-BR"/>
        </w:rPr>
        <w:t>DOI:</w:t>
      </w:r>
      <w:proofErr w:type="gramEnd"/>
      <w:r w:rsidRPr="006D03D6">
        <w:rPr>
          <w:rFonts w:ascii="Arial" w:hAnsi="Arial" w:cs="Arial"/>
          <w:sz w:val="24"/>
          <w:szCs w:val="24"/>
          <w:lang w:val="pt-BR"/>
        </w:rPr>
        <w:t>10.1111/bph.13129.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03D6">
        <w:rPr>
          <w:rFonts w:ascii="Arial" w:hAnsi="Arial" w:cs="Arial"/>
          <w:sz w:val="24"/>
          <w:szCs w:val="24"/>
          <w:lang w:val="pt-BR"/>
        </w:rPr>
        <w:t xml:space="preserve">9. </w:t>
      </w:r>
      <w:proofErr w:type="gramStart"/>
      <w:r w:rsidRPr="006D03D6">
        <w:rPr>
          <w:rFonts w:ascii="Arial" w:hAnsi="Arial" w:cs="Arial"/>
          <w:sz w:val="24"/>
          <w:szCs w:val="24"/>
          <w:lang w:val="pt-BR"/>
        </w:rPr>
        <w:t>dos</w:t>
      </w:r>
      <w:proofErr w:type="gramEnd"/>
      <w:r w:rsidRPr="006D03D6">
        <w:rPr>
          <w:rFonts w:ascii="Arial" w:hAnsi="Arial" w:cs="Arial"/>
          <w:sz w:val="24"/>
          <w:szCs w:val="24"/>
          <w:lang w:val="pt-BR"/>
        </w:rPr>
        <w:t xml:space="preserve"> Santos GG, Dias EV, Teixeira </w:t>
      </w:r>
      <w:proofErr w:type="spellStart"/>
      <w:r w:rsidRPr="006D03D6">
        <w:rPr>
          <w:rFonts w:ascii="Arial" w:hAnsi="Arial" w:cs="Arial"/>
          <w:sz w:val="24"/>
          <w:szCs w:val="24"/>
          <w:lang w:val="pt-BR"/>
        </w:rPr>
        <w:t>JM,Athie</w:t>
      </w:r>
      <w:proofErr w:type="spellEnd"/>
      <w:r w:rsidRPr="006D03D6">
        <w:rPr>
          <w:rFonts w:ascii="Arial" w:hAnsi="Arial" w:cs="Arial"/>
          <w:sz w:val="24"/>
          <w:szCs w:val="24"/>
          <w:lang w:val="pt-BR"/>
        </w:rPr>
        <w:t xml:space="preserve"> MC, </w:t>
      </w:r>
      <w:proofErr w:type="spellStart"/>
      <w:r w:rsidRPr="006D03D6">
        <w:rPr>
          <w:rFonts w:ascii="Arial" w:hAnsi="Arial" w:cs="Arial"/>
          <w:sz w:val="24"/>
          <w:szCs w:val="24"/>
          <w:lang w:val="pt-BR"/>
        </w:rPr>
        <w:t>Bonet</w:t>
      </w:r>
      <w:proofErr w:type="spellEnd"/>
      <w:r w:rsidRPr="006D03D6">
        <w:rPr>
          <w:rFonts w:ascii="Arial" w:hAnsi="Arial" w:cs="Arial"/>
          <w:sz w:val="24"/>
          <w:szCs w:val="24"/>
          <w:lang w:val="pt-BR"/>
        </w:rPr>
        <w:t xml:space="preserve"> IJ, </w:t>
      </w:r>
      <w:proofErr w:type="spellStart"/>
      <w:r w:rsidRPr="006D03D6">
        <w:rPr>
          <w:rFonts w:ascii="Arial" w:hAnsi="Arial" w:cs="Arial"/>
          <w:sz w:val="24"/>
          <w:szCs w:val="24"/>
          <w:lang w:val="pt-BR"/>
        </w:rPr>
        <w:t>Tambeli</w:t>
      </w:r>
      <w:proofErr w:type="spellEnd"/>
      <w:r w:rsidRPr="006D03D6">
        <w:rPr>
          <w:rFonts w:ascii="Arial" w:hAnsi="Arial" w:cs="Arial"/>
          <w:sz w:val="24"/>
          <w:szCs w:val="24"/>
          <w:lang w:val="pt-BR"/>
        </w:rPr>
        <w:t xml:space="preserve"> CH, </w:t>
      </w:r>
      <w:proofErr w:type="spellStart"/>
      <w:r w:rsidRPr="006D03D6">
        <w:rPr>
          <w:rFonts w:ascii="Arial" w:hAnsi="Arial" w:cs="Arial"/>
          <w:sz w:val="24"/>
          <w:szCs w:val="24"/>
          <w:lang w:val="pt-BR"/>
        </w:rPr>
        <w:t>etal</w:t>
      </w:r>
      <w:proofErr w:type="spellEnd"/>
      <w:r w:rsidRPr="006D03D6">
        <w:rPr>
          <w:rFonts w:ascii="Arial" w:hAnsi="Arial" w:cs="Arial"/>
          <w:sz w:val="24"/>
          <w:szCs w:val="24"/>
          <w:lang w:val="pt-BR"/>
        </w:rPr>
        <w:t xml:space="preserve">. </w:t>
      </w:r>
      <w:r w:rsidRPr="006D03D6">
        <w:rPr>
          <w:rFonts w:ascii="Arial" w:hAnsi="Arial" w:cs="Arial"/>
          <w:sz w:val="24"/>
          <w:szCs w:val="24"/>
          <w:lang w:val="en-US"/>
        </w:rPr>
        <w:t xml:space="preserve">The analgesic effect of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dipyrone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inperipheral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tissue involves two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differentmechanisms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: </w:t>
      </w:r>
      <w:r w:rsidRPr="006D03D6">
        <w:rPr>
          <w:rFonts w:ascii="Arial" w:hAnsi="Arial" w:cs="Arial"/>
          <w:sz w:val="24"/>
          <w:szCs w:val="24"/>
          <w:lang w:val="en-US"/>
        </w:rPr>
        <w:lastRenderedPageBreak/>
        <w:t xml:space="preserve">Neuronal KATP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channelopening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and CB1 receptor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activation.Eur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J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Pharmacol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. </w:t>
      </w:r>
      <w:proofErr w:type="gramStart"/>
      <w:r w:rsidRPr="006D03D6">
        <w:rPr>
          <w:rFonts w:ascii="Arial" w:hAnsi="Arial" w:cs="Arial"/>
          <w:sz w:val="24"/>
          <w:szCs w:val="24"/>
          <w:lang w:val="en-US"/>
        </w:rPr>
        <w:t>2014; 741:3-10.</w:t>
      </w:r>
      <w:proofErr w:type="gramEnd"/>
      <w:r w:rsidRPr="006D03D6">
        <w:rPr>
          <w:rFonts w:ascii="Arial" w:hAnsi="Arial" w:cs="Arial"/>
          <w:sz w:val="24"/>
          <w:szCs w:val="24"/>
          <w:lang w:val="en-US"/>
        </w:rPr>
        <w:t xml:space="preserve"> DOI:10.1016/j.ejphar.2014.07.019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03D6">
        <w:rPr>
          <w:rFonts w:ascii="Arial" w:hAnsi="Arial" w:cs="Arial"/>
          <w:sz w:val="24"/>
          <w:szCs w:val="24"/>
          <w:lang w:val="en-US"/>
        </w:rPr>
        <w:t xml:space="preserve">10.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Crunfli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F,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Vilela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FC,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Giusti-Paiva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A.Cannabinoid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CB 1 receptors mediate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theeffects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of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dipyrone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proofErr w:type="gramStart"/>
      <w:r w:rsidRPr="006D03D6">
        <w:rPr>
          <w:rFonts w:ascii="Arial" w:hAnsi="Arial" w:cs="Arial"/>
          <w:sz w:val="24"/>
          <w:szCs w:val="24"/>
          <w:lang w:val="en-US"/>
        </w:rPr>
        <w:t>ClinExpPharmacolPhysiol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6D03D6">
        <w:rPr>
          <w:rFonts w:ascii="Arial" w:hAnsi="Arial" w:cs="Arial"/>
          <w:sz w:val="24"/>
          <w:szCs w:val="24"/>
          <w:lang w:val="en-US"/>
        </w:rPr>
        <w:t xml:space="preserve"> 2015; 42(3):246-55. DOI:10.1111/1440-1681.12347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03D6">
        <w:rPr>
          <w:rFonts w:ascii="Arial" w:hAnsi="Arial" w:cs="Arial"/>
          <w:sz w:val="24"/>
          <w:szCs w:val="24"/>
          <w:lang w:val="en-US"/>
        </w:rPr>
        <w:t xml:space="preserve">11. Vazquez E, Escobar W, Ramirez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K</w:t>
      </w:r>
      <w:proofErr w:type="gramStart"/>
      <w:r w:rsidRPr="006D03D6">
        <w:rPr>
          <w:rFonts w:ascii="Arial" w:hAnsi="Arial" w:cs="Arial"/>
          <w:sz w:val="24"/>
          <w:szCs w:val="24"/>
          <w:lang w:val="en-US"/>
        </w:rPr>
        <w:t>,Vanegas</w:t>
      </w:r>
      <w:proofErr w:type="spellEnd"/>
      <w:proofErr w:type="gramEnd"/>
      <w:r w:rsidRPr="006D03D6">
        <w:rPr>
          <w:rFonts w:ascii="Arial" w:hAnsi="Arial" w:cs="Arial"/>
          <w:sz w:val="24"/>
          <w:szCs w:val="24"/>
          <w:lang w:val="en-US"/>
        </w:rPr>
        <w:t xml:space="preserve"> H. </w:t>
      </w:r>
      <w:proofErr w:type="gramStart"/>
      <w:r w:rsidRPr="006D03D6">
        <w:rPr>
          <w:rFonts w:ascii="Arial" w:hAnsi="Arial" w:cs="Arial"/>
          <w:sz w:val="24"/>
          <w:szCs w:val="24"/>
          <w:lang w:val="en-US"/>
        </w:rPr>
        <w:t xml:space="preserve">A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nonopioid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analgesicacts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upon the PAG-RVM axis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toreverse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inflammatory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hyperalgesia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6D03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EurJ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Neurosci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>. 2007</w:t>
      </w:r>
      <w:proofErr w:type="gramStart"/>
      <w:r w:rsidRPr="006D03D6">
        <w:rPr>
          <w:rFonts w:ascii="Arial" w:hAnsi="Arial" w:cs="Arial"/>
          <w:sz w:val="24"/>
          <w:szCs w:val="24"/>
          <w:lang w:val="en-US"/>
        </w:rPr>
        <w:t>;25</w:t>
      </w:r>
      <w:proofErr w:type="gramEnd"/>
      <w:r w:rsidRPr="006D03D6">
        <w:rPr>
          <w:rFonts w:ascii="Arial" w:hAnsi="Arial" w:cs="Arial"/>
          <w:sz w:val="24"/>
          <w:szCs w:val="24"/>
          <w:lang w:val="en-US"/>
        </w:rPr>
        <w:t>(2):471-9. DOI:10.1111/j.1460-9568.2007.05280.x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03D6">
        <w:rPr>
          <w:rFonts w:ascii="Arial" w:hAnsi="Arial" w:cs="Arial"/>
          <w:sz w:val="24"/>
          <w:szCs w:val="24"/>
          <w:lang w:val="en-US"/>
        </w:rPr>
        <w:t xml:space="preserve">12.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Hamerschlak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N,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Maluf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E,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BiasiCavalcanti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A,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Avezum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Á,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Eluf-NetoJ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PassetoFalcão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R, et al.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Incidenceand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risk factors for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agranulocytosis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inLatin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American countries - The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LatinStudy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: A multicenter study.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Eur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J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ClinPharmacol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>. 2008; 64(9):921-9. DOI</w:t>
      </w:r>
      <w:proofErr w:type="gramStart"/>
      <w:r w:rsidRPr="006D03D6">
        <w:rPr>
          <w:rFonts w:ascii="Arial" w:hAnsi="Arial" w:cs="Arial"/>
          <w:sz w:val="24"/>
          <w:szCs w:val="24"/>
          <w:lang w:val="en-US"/>
        </w:rPr>
        <w:t>:10.1007</w:t>
      </w:r>
      <w:proofErr w:type="gramEnd"/>
      <w:r w:rsidRPr="006D03D6">
        <w:rPr>
          <w:rFonts w:ascii="Arial" w:hAnsi="Arial" w:cs="Arial"/>
          <w:sz w:val="24"/>
          <w:szCs w:val="24"/>
          <w:lang w:val="en-US"/>
        </w:rPr>
        <w:t>/s00228-008-0513-7.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03D6">
        <w:rPr>
          <w:rFonts w:ascii="Arial" w:hAnsi="Arial" w:cs="Arial"/>
          <w:sz w:val="24"/>
          <w:szCs w:val="24"/>
          <w:lang w:val="en-US"/>
        </w:rPr>
        <w:t xml:space="preserve">13.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Maj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S,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Lis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Y. </w:t>
      </w:r>
      <w:proofErr w:type="gramStart"/>
      <w:r w:rsidRPr="006D03D6">
        <w:rPr>
          <w:rFonts w:ascii="Arial" w:hAnsi="Arial" w:cs="Arial"/>
          <w:sz w:val="24"/>
          <w:szCs w:val="24"/>
          <w:lang w:val="en-US"/>
        </w:rPr>
        <w:t xml:space="preserve">The incidence of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metamizolesodium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-induced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agranulocytosis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inPoland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6D03D6">
        <w:rPr>
          <w:rFonts w:ascii="Arial" w:hAnsi="Arial" w:cs="Arial"/>
          <w:sz w:val="24"/>
          <w:szCs w:val="24"/>
          <w:lang w:val="en-US"/>
        </w:rPr>
        <w:t xml:space="preserve"> J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Int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Med Res. 2002; 30(5):488-95. DOI: 10.1177/147323000203000504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03D6">
        <w:rPr>
          <w:rFonts w:ascii="Arial" w:hAnsi="Arial" w:cs="Arial"/>
          <w:sz w:val="24"/>
          <w:szCs w:val="24"/>
          <w:lang w:val="en-US"/>
        </w:rPr>
        <w:t xml:space="preserve">14. Shapiro S,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Issaragrisil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S, Kaufman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DW,Anderson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T,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Chansung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K,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ThamprasitT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, et al.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Agranulocytosis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in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Bangkok,Thailand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>: A predominantly drug-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induceddisease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with an unusually low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incidence.Am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J Trop Med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Hyg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>. 1999; 60(4):573-7.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03D6">
        <w:rPr>
          <w:rFonts w:ascii="Arial" w:hAnsi="Arial" w:cs="Arial"/>
          <w:sz w:val="24"/>
          <w:szCs w:val="24"/>
        </w:rPr>
        <w:t xml:space="preserve">15. </w:t>
      </w:r>
      <w:proofErr w:type="spellStart"/>
      <w:r w:rsidRPr="006D03D6">
        <w:rPr>
          <w:rFonts w:ascii="Arial" w:hAnsi="Arial" w:cs="Arial"/>
          <w:sz w:val="24"/>
          <w:szCs w:val="24"/>
        </w:rPr>
        <w:t>Ibañez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L, Vidal X, </w:t>
      </w:r>
      <w:proofErr w:type="spellStart"/>
      <w:r w:rsidRPr="006D03D6">
        <w:rPr>
          <w:rFonts w:ascii="Arial" w:hAnsi="Arial" w:cs="Arial"/>
          <w:sz w:val="24"/>
          <w:szCs w:val="24"/>
        </w:rPr>
        <w:t>Laporte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JR. </w:t>
      </w:r>
      <w:proofErr w:type="gramStart"/>
      <w:r w:rsidRPr="006D03D6">
        <w:rPr>
          <w:rFonts w:ascii="Arial" w:hAnsi="Arial" w:cs="Arial"/>
          <w:sz w:val="24"/>
          <w:szCs w:val="24"/>
          <w:lang w:val="en-US"/>
        </w:rPr>
        <w:t xml:space="preserve">Population-Based Drug-Induced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Agranulocytosis.Arch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Intern Med. 2005; 165:869-74.DOI:10.1001/archinte.165.8.869.</w:t>
      </w:r>
      <w:proofErr w:type="gramEnd"/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03D6">
        <w:rPr>
          <w:rFonts w:ascii="Arial" w:hAnsi="Arial" w:cs="Arial"/>
          <w:sz w:val="24"/>
          <w:szCs w:val="24"/>
        </w:rPr>
        <w:t xml:space="preserve">16. </w:t>
      </w:r>
      <w:proofErr w:type="spellStart"/>
      <w:r w:rsidRPr="006D03D6">
        <w:rPr>
          <w:rFonts w:ascii="Arial" w:hAnsi="Arial" w:cs="Arial"/>
          <w:sz w:val="24"/>
          <w:szCs w:val="24"/>
        </w:rPr>
        <w:t>Tesfa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D, </w:t>
      </w:r>
      <w:proofErr w:type="spellStart"/>
      <w:r w:rsidRPr="006D03D6">
        <w:rPr>
          <w:rFonts w:ascii="Arial" w:hAnsi="Arial" w:cs="Arial"/>
          <w:sz w:val="24"/>
          <w:szCs w:val="24"/>
        </w:rPr>
        <w:t>Keisu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 M, and </w:t>
      </w:r>
      <w:proofErr w:type="spellStart"/>
      <w:r w:rsidRPr="006D03D6">
        <w:rPr>
          <w:rFonts w:ascii="Arial" w:hAnsi="Arial" w:cs="Arial"/>
          <w:sz w:val="24"/>
          <w:szCs w:val="24"/>
        </w:rPr>
        <w:t>PalmbladJ</w:t>
      </w:r>
      <w:proofErr w:type="spellEnd"/>
      <w:r w:rsidRPr="006D03D6">
        <w:rPr>
          <w:rFonts w:ascii="Arial" w:hAnsi="Arial" w:cs="Arial"/>
          <w:sz w:val="24"/>
          <w:szCs w:val="24"/>
        </w:rPr>
        <w:t xml:space="preserve">. </w:t>
      </w:r>
      <w:r w:rsidRPr="006D03D6">
        <w:rPr>
          <w:rFonts w:ascii="Arial" w:hAnsi="Arial" w:cs="Arial"/>
          <w:sz w:val="24"/>
          <w:szCs w:val="24"/>
          <w:lang w:val="en-US"/>
        </w:rPr>
        <w:t>Idiosyncratic drug-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inducedagranulocytosis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: Possible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mechanismsand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management. Am J Hematol.2009 Jul</w:t>
      </w:r>
      <w:proofErr w:type="gramStart"/>
      <w:r w:rsidRPr="006D03D6">
        <w:rPr>
          <w:rFonts w:ascii="Arial" w:hAnsi="Arial" w:cs="Arial"/>
          <w:sz w:val="24"/>
          <w:szCs w:val="24"/>
          <w:lang w:val="en-US"/>
        </w:rPr>
        <w:t>;84</w:t>
      </w:r>
      <w:proofErr w:type="gramEnd"/>
      <w:r w:rsidRPr="006D03D6">
        <w:rPr>
          <w:rFonts w:ascii="Arial" w:hAnsi="Arial" w:cs="Arial"/>
          <w:sz w:val="24"/>
          <w:szCs w:val="24"/>
          <w:lang w:val="en-US"/>
        </w:rPr>
        <w:t>(7):428-34. DOI: 10.1002/ajh.21433.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03D6">
        <w:rPr>
          <w:rFonts w:ascii="Arial" w:hAnsi="Arial" w:cs="Arial"/>
          <w:sz w:val="24"/>
          <w:szCs w:val="24"/>
          <w:lang w:val="en-US"/>
        </w:rPr>
        <w:t xml:space="preserve">17.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Moeschlin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S, Wagner K.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AgranulocytosisDue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Occurrence of Leukocyte-Agglutinins. </w:t>
      </w:r>
      <w:proofErr w:type="spellStart"/>
      <w:proofErr w:type="gramStart"/>
      <w:r w:rsidRPr="006D03D6">
        <w:rPr>
          <w:rFonts w:ascii="Arial" w:hAnsi="Arial" w:cs="Arial"/>
          <w:sz w:val="24"/>
          <w:szCs w:val="24"/>
          <w:lang w:val="en-US"/>
        </w:rPr>
        <w:t>Acta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Haematol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6D03D6">
        <w:rPr>
          <w:rFonts w:ascii="Arial" w:hAnsi="Arial" w:cs="Arial"/>
          <w:sz w:val="24"/>
          <w:szCs w:val="24"/>
          <w:lang w:val="en-US"/>
        </w:rPr>
        <w:t xml:space="preserve"> 1952; 8(1-2):29-41. DOI</w:t>
      </w:r>
      <w:proofErr w:type="gramStart"/>
      <w:r w:rsidRPr="006D03D6">
        <w:rPr>
          <w:rFonts w:ascii="Arial" w:hAnsi="Arial" w:cs="Arial"/>
          <w:sz w:val="24"/>
          <w:szCs w:val="24"/>
          <w:lang w:val="en-US"/>
        </w:rPr>
        <w:t>:10.1159</w:t>
      </w:r>
      <w:proofErr w:type="gramEnd"/>
      <w:r w:rsidRPr="006D03D6">
        <w:rPr>
          <w:rFonts w:ascii="Arial" w:hAnsi="Arial" w:cs="Arial"/>
          <w:sz w:val="24"/>
          <w:szCs w:val="24"/>
          <w:lang w:val="en-US"/>
        </w:rPr>
        <w:t>/000204146.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03D6">
        <w:rPr>
          <w:rFonts w:ascii="Arial" w:hAnsi="Arial" w:cs="Arial"/>
          <w:sz w:val="24"/>
          <w:szCs w:val="24"/>
          <w:lang w:val="en-US"/>
        </w:rPr>
        <w:t xml:space="preserve">18. Andres E, Noel E, Kurtz JE,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LoukiliNH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Kaltenbach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G,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Maloisel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F. Life-threatening idiosyncratic drug-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inducedagranulocytosis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in elderly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patients.Drugs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and Aging. 2004; 21(7):427-35.DOI:10.2165/00002512-200421070-00002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03D6">
        <w:rPr>
          <w:rFonts w:ascii="Arial" w:hAnsi="Arial" w:cs="Arial"/>
          <w:sz w:val="24"/>
          <w:szCs w:val="24"/>
          <w:lang w:val="en-US"/>
        </w:rPr>
        <w:lastRenderedPageBreak/>
        <w:t xml:space="preserve">19. Hargis JB, La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Russa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VF, Redmond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J,Kessler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SW, Wright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DG.Agranulocytosisassociated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with “Mexican aspirin”(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dipyrone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): evidence for an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autoimmunemechanism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affecting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multipotentialhematopoietic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progenitors. Am.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J.Hematol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>. 1989; 31(3):213-15. DOI:10.1002/ajh.2830310314.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03D6">
        <w:rPr>
          <w:rFonts w:ascii="Arial" w:hAnsi="Arial" w:cs="Arial"/>
          <w:sz w:val="24"/>
          <w:szCs w:val="24"/>
          <w:lang w:val="en-US"/>
        </w:rPr>
        <w:t xml:space="preserve">20.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Uetrecht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JP1, Ma HM,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MacKnight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E,McClelland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R. Oxidation of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aminopyrine</w:t>
      </w:r>
      <w:proofErr w:type="spellEnd"/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6D03D6">
        <w:rPr>
          <w:rFonts w:ascii="Arial" w:hAnsi="Arial" w:cs="Arial"/>
          <w:sz w:val="24"/>
          <w:szCs w:val="24"/>
          <w:lang w:val="en-US"/>
        </w:rPr>
        <w:t>by</w:t>
      </w:r>
      <w:proofErr w:type="gramEnd"/>
      <w:r w:rsidRPr="006D03D6">
        <w:rPr>
          <w:rFonts w:ascii="Arial" w:hAnsi="Arial" w:cs="Arial"/>
          <w:sz w:val="24"/>
          <w:szCs w:val="24"/>
          <w:lang w:val="en-US"/>
        </w:rPr>
        <w:t xml:space="preserve"> hypochlorite to a reactive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dication:Possible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implications for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aminopyrine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>-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proofErr w:type="spellStart"/>
      <w:proofErr w:type="gramStart"/>
      <w:r w:rsidRPr="006D03D6">
        <w:rPr>
          <w:rFonts w:ascii="Arial" w:hAnsi="Arial" w:cs="Arial"/>
          <w:sz w:val="24"/>
          <w:szCs w:val="24"/>
          <w:lang w:val="pt-BR"/>
        </w:rPr>
        <w:t>induceagranulocytosis</w:t>
      </w:r>
      <w:proofErr w:type="spellEnd"/>
      <w:proofErr w:type="gramEnd"/>
      <w:r w:rsidRPr="006D03D6">
        <w:rPr>
          <w:rFonts w:ascii="Arial" w:hAnsi="Arial" w:cs="Arial"/>
          <w:sz w:val="24"/>
          <w:szCs w:val="24"/>
          <w:lang w:val="pt-BR"/>
        </w:rPr>
        <w:t xml:space="preserve">. </w:t>
      </w:r>
      <w:proofErr w:type="spellStart"/>
      <w:r w:rsidRPr="006D03D6">
        <w:rPr>
          <w:rFonts w:ascii="Arial" w:hAnsi="Arial" w:cs="Arial"/>
          <w:sz w:val="24"/>
          <w:szCs w:val="24"/>
          <w:lang w:val="pt-BR"/>
        </w:rPr>
        <w:t>Chem</w:t>
      </w:r>
      <w:proofErr w:type="spellEnd"/>
      <w:r w:rsidRPr="006D03D6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proofErr w:type="gramStart"/>
      <w:r w:rsidRPr="006D03D6">
        <w:rPr>
          <w:rFonts w:ascii="Arial" w:hAnsi="Arial" w:cs="Arial"/>
          <w:sz w:val="24"/>
          <w:szCs w:val="24"/>
          <w:lang w:val="pt-BR"/>
        </w:rPr>
        <w:t>ResToxicol</w:t>
      </w:r>
      <w:proofErr w:type="spellEnd"/>
      <w:proofErr w:type="gramEnd"/>
      <w:r w:rsidRPr="006D03D6">
        <w:rPr>
          <w:rFonts w:ascii="Arial" w:hAnsi="Arial" w:cs="Arial"/>
          <w:sz w:val="24"/>
          <w:szCs w:val="24"/>
          <w:lang w:val="pt-BR"/>
        </w:rPr>
        <w:t xml:space="preserve"> 1995; 8(2):226-33. </w:t>
      </w:r>
      <w:proofErr w:type="gramStart"/>
      <w:r w:rsidRPr="006D03D6">
        <w:rPr>
          <w:rFonts w:ascii="Arial" w:hAnsi="Arial" w:cs="Arial"/>
          <w:sz w:val="24"/>
          <w:szCs w:val="24"/>
          <w:lang w:val="pt-BR"/>
        </w:rPr>
        <w:t>DOI:</w:t>
      </w:r>
      <w:proofErr w:type="gramEnd"/>
      <w:r w:rsidRPr="006D03D6">
        <w:rPr>
          <w:rFonts w:ascii="Arial" w:hAnsi="Arial" w:cs="Arial"/>
          <w:sz w:val="24"/>
          <w:szCs w:val="24"/>
          <w:lang w:val="pt-BR"/>
        </w:rPr>
        <w:t>10.1021/tx00044a007.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03D6">
        <w:rPr>
          <w:rFonts w:ascii="Arial" w:hAnsi="Arial" w:cs="Arial"/>
          <w:sz w:val="24"/>
          <w:szCs w:val="24"/>
          <w:lang w:val="en-US"/>
        </w:rPr>
        <w:t xml:space="preserve">21. Garcia S,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Canionero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M, Lopes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G.Dipyrone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-induced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granulocytopenia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: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acase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for awareness. Pharmacotherapy.2006; 26(3):440-2. DOI: 10.1592/phco.26.3.440.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03D6">
        <w:rPr>
          <w:rFonts w:ascii="Arial" w:hAnsi="Arial" w:cs="Arial"/>
          <w:sz w:val="24"/>
          <w:szCs w:val="24"/>
          <w:lang w:val="en-US"/>
        </w:rPr>
        <w:t xml:space="preserve">22.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Vlahov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V,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Bacracheva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N,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TontchevaD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Naumova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E,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Mavrudieva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M,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IlievaP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, et al. Genetic factors and risk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ofagranulocytosis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from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metamizol.Pharmacogenetics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1996; 6(1):67-72.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03D6">
        <w:rPr>
          <w:rFonts w:ascii="Arial" w:hAnsi="Arial" w:cs="Arial"/>
          <w:sz w:val="24"/>
          <w:szCs w:val="24"/>
          <w:lang w:val="en-US"/>
        </w:rPr>
        <w:t xml:space="preserve">23.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Discombe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G.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Agranulocytosis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caused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byamidopyrine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>, an avoidable cause of death.Br Med J. 1952; 1(4771): 1270–1273.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03D6">
        <w:rPr>
          <w:rFonts w:ascii="Arial" w:hAnsi="Arial" w:cs="Arial"/>
          <w:sz w:val="24"/>
          <w:szCs w:val="24"/>
          <w:lang w:val="en-US"/>
        </w:rPr>
        <w:t xml:space="preserve">24.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Anonimo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. </w:t>
      </w:r>
      <w:proofErr w:type="gramStart"/>
      <w:r w:rsidRPr="006D03D6">
        <w:rPr>
          <w:rFonts w:ascii="Arial" w:hAnsi="Arial" w:cs="Arial"/>
          <w:sz w:val="24"/>
          <w:szCs w:val="24"/>
          <w:lang w:val="en-US"/>
        </w:rPr>
        <w:t xml:space="preserve">Risk of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agranulocytosisand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aplastic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anemia.Jama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6D03D6">
        <w:rPr>
          <w:rFonts w:ascii="Arial" w:hAnsi="Arial" w:cs="Arial"/>
          <w:sz w:val="24"/>
          <w:szCs w:val="24"/>
          <w:lang w:val="en-US"/>
        </w:rPr>
        <w:t xml:space="preserve"> JAMA.1986</w:t>
      </w:r>
      <w:proofErr w:type="gramStart"/>
      <w:r w:rsidRPr="006D03D6">
        <w:rPr>
          <w:rFonts w:ascii="Arial" w:hAnsi="Arial" w:cs="Arial"/>
          <w:sz w:val="24"/>
          <w:szCs w:val="24"/>
          <w:lang w:val="en-US"/>
        </w:rPr>
        <w:t>;256</w:t>
      </w:r>
      <w:proofErr w:type="gramEnd"/>
      <w:r w:rsidRPr="006D03D6">
        <w:rPr>
          <w:rFonts w:ascii="Arial" w:hAnsi="Arial" w:cs="Arial"/>
          <w:sz w:val="24"/>
          <w:szCs w:val="24"/>
          <w:lang w:val="en-US"/>
        </w:rPr>
        <w:t>(13):1749-1757. DOI:10.1001/jama.1986.03380130077032.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03D6">
        <w:rPr>
          <w:rFonts w:ascii="Arial" w:hAnsi="Arial" w:cs="Arial"/>
          <w:sz w:val="24"/>
          <w:szCs w:val="24"/>
          <w:lang w:val="en-US"/>
        </w:rPr>
        <w:t xml:space="preserve">25. Edwards J,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McQuay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HJ.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Dipyroneand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agranulocytosis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: what is the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risk</w:t>
      </w:r>
      <w:proofErr w:type="gramStart"/>
      <w:r w:rsidRPr="006D03D6">
        <w:rPr>
          <w:rFonts w:ascii="Arial" w:hAnsi="Arial" w:cs="Arial"/>
          <w:sz w:val="24"/>
          <w:szCs w:val="24"/>
          <w:lang w:val="en-US"/>
        </w:rPr>
        <w:t>?Lancet</w:t>
      </w:r>
      <w:proofErr w:type="spellEnd"/>
      <w:proofErr w:type="gramEnd"/>
      <w:r w:rsidRPr="006D03D6">
        <w:rPr>
          <w:rFonts w:ascii="Arial" w:hAnsi="Arial" w:cs="Arial"/>
          <w:sz w:val="24"/>
          <w:szCs w:val="24"/>
          <w:lang w:val="en-US"/>
        </w:rPr>
        <w:t xml:space="preserve">. 2002; 360(9344):1438.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DOI</w:t>
      </w:r>
      <w:proofErr w:type="gramStart"/>
      <w:r w:rsidRPr="006D03D6">
        <w:rPr>
          <w:rFonts w:ascii="Arial" w:hAnsi="Arial" w:cs="Arial"/>
          <w:sz w:val="24"/>
          <w:szCs w:val="24"/>
          <w:lang w:val="en-US"/>
        </w:rPr>
        <w:t>:</w:t>
      </w:r>
      <w:proofErr w:type="gramEnd"/>
      <w:r w:rsidR="008357F2">
        <w:fldChar w:fldCharType="begin"/>
      </w:r>
      <w:r w:rsidR="008357F2">
        <w:instrText xml:space="preserve"> HYPERLINK "http://dx.doi.org/10.1016/S0140-" </w:instrText>
      </w:r>
      <w:r w:rsidR="008357F2">
        <w:fldChar w:fldCharType="separate"/>
      </w:r>
      <w:r w:rsidRPr="006D03D6">
        <w:rPr>
          <w:rStyle w:val="Hipervnculo"/>
          <w:rFonts w:ascii="Arial" w:hAnsi="Arial" w:cs="Arial"/>
          <w:sz w:val="24"/>
          <w:szCs w:val="24"/>
          <w:lang w:val="en-US"/>
        </w:rPr>
        <w:t>http</w:t>
      </w:r>
      <w:proofErr w:type="spellEnd"/>
      <w:r w:rsidRPr="006D03D6">
        <w:rPr>
          <w:rStyle w:val="Hipervnculo"/>
          <w:rFonts w:ascii="Arial" w:hAnsi="Arial" w:cs="Arial"/>
          <w:sz w:val="24"/>
          <w:szCs w:val="24"/>
          <w:lang w:val="en-US"/>
        </w:rPr>
        <w:t>://dx.doi.org/10.1016/S0140-</w:t>
      </w:r>
      <w:r w:rsidR="008357F2">
        <w:rPr>
          <w:rStyle w:val="Hipervnculo"/>
          <w:rFonts w:ascii="Arial" w:hAnsi="Arial" w:cs="Arial"/>
          <w:sz w:val="24"/>
          <w:szCs w:val="24"/>
          <w:lang w:val="en-US"/>
        </w:rPr>
        <w:fldChar w:fldCharType="end"/>
      </w:r>
      <w:r w:rsidRPr="006D03D6">
        <w:rPr>
          <w:rFonts w:ascii="Arial" w:hAnsi="Arial" w:cs="Arial"/>
          <w:sz w:val="24"/>
          <w:szCs w:val="24"/>
          <w:lang w:val="en-US"/>
        </w:rPr>
        <w:t>6736(02)11489-9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03D6">
        <w:rPr>
          <w:rFonts w:ascii="Arial" w:hAnsi="Arial" w:cs="Arial"/>
          <w:sz w:val="24"/>
          <w:szCs w:val="24"/>
          <w:lang w:val="en-US"/>
        </w:rPr>
        <w:t xml:space="preserve">26.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Hedenmalm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K,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Spigset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O.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Agranulocytosisand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other blood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dyscrasias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associatedwith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dipyrone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metamizole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).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Eur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J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ClinPharmacol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>. 2002; 58(4):265-74. DOI</w:t>
      </w:r>
      <w:proofErr w:type="gramStart"/>
      <w:r w:rsidRPr="006D03D6">
        <w:rPr>
          <w:rFonts w:ascii="Arial" w:hAnsi="Arial" w:cs="Arial"/>
          <w:sz w:val="24"/>
          <w:szCs w:val="24"/>
          <w:lang w:val="en-US"/>
        </w:rPr>
        <w:t>:10.1007</w:t>
      </w:r>
      <w:proofErr w:type="gramEnd"/>
      <w:r w:rsidRPr="006D03D6">
        <w:rPr>
          <w:rFonts w:ascii="Arial" w:hAnsi="Arial" w:cs="Arial"/>
          <w:sz w:val="24"/>
          <w:szCs w:val="24"/>
          <w:lang w:val="en-US"/>
        </w:rPr>
        <w:t>/s00228-002-0465-2.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03D6">
        <w:rPr>
          <w:rFonts w:ascii="Arial" w:hAnsi="Arial" w:cs="Arial"/>
          <w:sz w:val="24"/>
          <w:szCs w:val="24"/>
          <w:lang w:val="en-US"/>
        </w:rPr>
        <w:t xml:space="preserve">27.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Théophile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H,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Bégaud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B, Martin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K,Laporte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JR,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Capella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D.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Incidenceof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agranulocytosis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in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SouthwestFrance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Eur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J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Epidemiol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>. 2004</w:t>
      </w:r>
      <w:proofErr w:type="gramStart"/>
      <w:r w:rsidRPr="006D03D6">
        <w:rPr>
          <w:rFonts w:ascii="Arial" w:hAnsi="Arial" w:cs="Arial"/>
          <w:sz w:val="24"/>
          <w:szCs w:val="24"/>
          <w:lang w:val="en-US"/>
        </w:rPr>
        <w:t>;1</w:t>
      </w:r>
      <w:proofErr w:type="gramEnd"/>
      <w:r w:rsidRPr="006D03D6">
        <w:rPr>
          <w:rFonts w:ascii="Arial" w:hAnsi="Arial" w:cs="Arial"/>
          <w:sz w:val="24"/>
          <w:szCs w:val="24"/>
          <w:lang w:val="en-US"/>
        </w:rPr>
        <w:t xml:space="preserve"> 9 ( 6 ) : 5 6 3 - 5 . D O </w:t>
      </w:r>
      <w:proofErr w:type="gramStart"/>
      <w:r w:rsidRPr="006D03D6">
        <w:rPr>
          <w:rFonts w:ascii="Arial" w:hAnsi="Arial" w:cs="Arial"/>
          <w:sz w:val="24"/>
          <w:szCs w:val="24"/>
          <w:lang w:val="en-US"/>
        </w:rPr>
        <w:t>I :</w:t>
      </w:r>
      <w:proofErr w:type="gramEnd"/>
      <w:r w:rsidRPr="006D03D6">
        <w:rPr>
          <w:rFonts w:ascii="Arial" w:hAnsi="Arial" w:cs="Arial"/>
          <w:sz w:val="24"/>
          <w:szCs w:val="24"/>
          <w:lang w:val="en-US"/>
        </w:rPr>
        <w:t xml:space="preserve"> 1 0 . </w:t>
      </w:r>
      <w:proofErr w:type="gramStart"/>
      <w:r w:rsidRPr="006D03D6">
        <w:rPr>
          <w:rFonts w:ascii="Arial" w:hAnsi="Arial" w:cs="Arial"/>
          <w:sz w:val="24"/>
          <w:szCs w:val="24"/>
          <w:lang w:val="en-US"/>
        </w:rPr>
        <w:t>1 0 2 3 /B:EJEP.0000032371.97823.85.</w:t>
      </w:r>
      <w:proofErr w:type="gramEnd"/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03D6">
        <w:rPr>
          <w:rFonts w:ascii="Arial" w:hAnsi="Arial" w:cs="Arial"/>
          <w:sz w:val="24"/>
          <w:szCs w:val="24"/>
          <w:lang w:val="en-US"/>
        </w:rPr>
        <w:t xml:space="preserve">28.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Böttiger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LE,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Westerholm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B. Drug-induced blood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dyscrasias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in Sweden. Br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03D6">
        <w:rPr>
          <w:rFonts w:ascii="Arial" w:hAnsi="Arial" w:cs="Arial"/>
          <w:sz w:val="24"/>
          <w:szCs w:val="24"/>
          <w:lang w:val="en-US"/>
        </w:rPr>
        <w:lastRenderedPageBreak/>
        <w:t>Med J. 1973; 3(5875):339-43.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03D6">
        <w:rPr>
          <w:rFonts w:ascii="Arial" w:hAnsi="Arial" w:cs="Arial"/>
          <w:sz w:val="24"/>
          <w:szCs w:val="24"/>
          <w:lang w:val="en-US"/>
        </w:rPr>
        <w:t xml:space="preserve">29. Levy M. Adverse reactions to over-the-counter analgesics: an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epidemiologicalevaluation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>. Agents Actions Suppl. 1988</w:t>
      </w:r>
      <w:proofErr w:type="gramStart"/>
      <w:r w:rsidRPr="006D03D6">
        <w:rPr>
          <w:rFonts w:ascii="Arial" w:hAnsi="Arial" w:cs="Arial"/>
          <w:sz w:val="24"/>
          <w:szCs w:val="24"/>
          <w:lang w:val="en-US"/>
        </w:rPr>
        <w:t>;25:21</w:t>
      </w:r>
      <w:proofErr w:type="gramEnd"/>
      <w:r w:rsidRPr="006D03D6">
        <w:rPr>
          <w:rFonts w:ascii="Arial" w:hAnsi="Arial" w:cs="Arial"/>
          <w:sz w:val="24"/>
          <w:szCs w:val="24"/>
          <w:lang w:val="en-US"/>
        </w:rPr>
        <w:t>-31.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D03D6">
        <w:rPr>
          <w:rFonts w:ascii="Arial" w:hAnsi="Arial" w:cs="Arial"/>
          <w:sz w:val="24"/>
          <w:szCs w:val="24"/>
          <w:lang w:val="en-US"/>
        </w:rPr>
        <w:t xml:space="preserve">30. Andrade SE, Martinez C, Walker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AM.Comparative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safety evaluation of non-narcotic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analgesics.J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ClinEpidemiol.1998; 51(12):1357-65. </w:t>
      </w:r>
      <w:r w:rsidRPr="006D03D6">
        <w:rPr>
          <w:rFonts w:ascii="Arial" w:hAnsi="Arial" w:cs="Arial"/>
          <w:sz w:val="24"/>
          <w:szCs w:val="24"/>
          <w:lang w:val="pt-BR"/>
        </w:rPr>
        <w:t xml:space="preserve">DOI: </w:t>
      </w:r>
      <w:hyperlink r:id="rId12" w:history="1">
        <w:r w:rsidRPr="006D03D6">
          <w:rPr>
            <w:rStyle w:val="Hipervnculo"/>
            <w:rFonts w:ascii="Arial" w:hAnsi="Arial" w:cs="Arial"/>
            <w:sz w:val="24"/>
            <w:szCs w:val="24"/>
            <w:lang w:val="pt-BR"/>
          </w:rPr>
          <w:t>http://dx.doi</w:t>
        </w:r>
      </w:hyperlink>
      <w:proofErr w:type="gramStart"/>
      <w:r w:rsidRPr="006D03D6">
        <w:rPr>
          <w:rFonts w:ascii="Arial" w:hAnsi="Arial" w:cs="Arial"/>
          <w:sz w:val="24"/>
          <w:szCs w:val="24"/>
          <w:lang w:val="pt-BR"/>
        </w:rPr>
        <w:t>.</w:t>
      </w:r>
      <w:proofErr w:type="gramEnd"/>
      <w:r w:rsidRPr="006D03D6">
        <w:rPr>
          <w:rFonts w:ascii="Arial" w:hAnsi="Arial" w:cs="Arial"/>
          <w:sz w:val="24"/>
          <w:szCs w:val="24"/>
          <w:lang w:val="pt-BR"/>
        </w:rPr>
        <w:t>org/10.1016/S0895-4356(98)00076-6.</w:t>
      </w:r>
    </w:p>
    <w:p w:rsidR="00C43819" w:rsidRPr="006D03D6" w:rsidRDefault="00C43819" w:rsidP="006D03D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D03D6">
        <w:rPr>
          <w:rFonts w:ascii="Arial" w:hAnsi="Arial" w:cs="Arial"/>
          <w:sz w:val="24"/>
          <w:szCs w:val="24"/>
          <w:lang w:val="pt-BR"/>
        </w:rPr>
        <w:t xml:space="preserve">31. </w:t>
      </w:r>
      <w:proofErr w:type="spellStart"/>
      <w:r w:rsidRPr="006D03D6">
        <w:rPr>
          <w:rFonts w:ascii="Arial" w:hAnsi="Arial" w:cs="Arial"/>
          <w:sz w:val="24"/>
          <w:szCs w:val="24"/>
          <w:lang w:val="pt-BR"/>
        </w:rPr>
        <w:t>Miettinen</w:t>
      </w:r>
      <w:proofErr w:type="spellEnd"/>
      <w:r w:rsidRPr="006D03D6">
        <w:rPr>
          <w:rFonts w:ascii="Arial" w:hAnsi="Arial" w:cs="Arial"/>
          <w:sz w:val="24"/>
          <w:szCs w:val="24"/>
          <w:lang w:val="pt-BR"/>
        </w:rPr>
        <w:t xml:space="preserve"> OS, Caro JJ. </w:t>
      </w:r>
      <w:r w:rsidRPr="006D03D6">
        <w:rPr>
          <w:rFonts w:ascii="Arial" w:hAnsi="Arial" w:cs="Arial"/>
          <w:sz w:val="24"/>
          <w:szCs w:val="24"/>
          <w:lang w:val="en-US"/>
        </w:rPr>
        <w:t xml:space="preserve">Principles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ofnonexperimental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assessment of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excessrisk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, with special reference to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adversedrug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D03D6">
        <w:rPr>
          <w:rFonts w:ascii="Arial" w:hAnsi="Arial" w:cs="Arial"/>
          <w:sz w:val="24"/>
          <w:szCs w:val="24"/>
          <w:lang w:val="en-US"/>
        </w:rPr>
        <w:t>reactions.J</w:t>
      </w:r>
      <w:proofErr w:type="spellEnd"/>
      <w:r w:rsidRPr="006D03D6">
        <w:rPr>
          <w:rFonts w:ascii="Arial" w:hAnsi="Arial" w:cs="Arial"/>
          <w:sz w:val="24"/>
          <w:szCs w:val="24"/>
          <w:lang w:val="en-US"/>
        </w:rPr>
        <w:t xml:space="preserve"> ClinEpidemiol.1989</w:t>
      </w:r>
      <w:proofErr w:type="gramStart"/>
      <w:r w:rsidRPr="006D03D6">
        <w:rPr>
          <w:rFonts w:ascii="Arial" w:hAnsi="Arial" w:cs="Arial"/>
          <w:sz w:val="24"/>
          <w:szCs w:val="24"/>
          <w:lang w:val="en-US"/>
        </w:rPr>
        <w:t>;42</w:t>
      </w:r>
      <w:proofErr w:type="gramEnd"/>
      <w:r w:rsidRPr="006D03D6">
        <w:rPr>
          <w:rFonts w:ascii="Arial" w:hAnsi="Arial" w:cs="Arial"/>
          <w:sz w:val="24"/>
          <w:szCs w:val="24"/>
          <w:lang w:val="en-US"/>
        </w:rPr>
        <w:t>(4):325-31.</w:t>
      </w:r>
    </w:p>
    <w:sectPr w:rsidR="00C43819" w:rsidRPr="006D03D6" w:rsidSect="00A138DF"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819" w:rsidRDefault="00C43819" w:rsidP="004E35AF">
      <w:pPr>
        <w:spacing w:after="0" w:line="240" w:lineRule="auto"/>
      </w:pPr>
      <w:r>
        <w:separator/>
      </w:r>
    </w:p>
  </w:endnote>
  <w:endnote w:type="continuationSeparator" w:id="0">
    <w:p w:rsidR="00C43819" w:rsidRDefault="00C43819" w:rsidP="004E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819" w:rsidRDefault="00C43819" w:rsidP="004E35AF">
      <w:pPr>
        <w:spacing w:after="0" w:line="240" w:lineRule="auto"/>
      </w:pPr>
      <w:r>
        <w:separator/>
      </w:r>
    </w:p>
  </w:footnote>
  <w:footnote w:type="continuationSeparator" w:id="0">
    <w:p w:rsidR="00C43819" w:rsidRDefault="00C43819" w:rsidP="004E3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6D4E"/>
    <w:rsid w:val="00030104"/>
    <w:rsid w:val="000B6E30"/>
    <w:rsid w:val="000C18E8"/>
    <w:rsid w:val="00181E9C"/>
    <w:rsid w:val="001E41F8"/>
    <w:rsid w:val="001F0ED3"/>
    <w:rsid w:val="00270864"/>
    <w:rsid w:val="003A177D"/>
    <w:rsid w:val="003B3DDF"/>
    <w:rsid w:val="003B6392"/>
    <w:rsid w:val="00403838"/>
    <w:rsid w:val="00463C00"/>
    <w:rsid w:val="004E35AF"/>
    <w:rsid w:val="0058626E"/>
    <w:rsid w:val="006D03D6"/>
    <w:rsid w:val="006F567E"/>
    <w:rsid w:val="007875A3"/>
    <w:rsid w:val="007B4586"/>
    <w:rsid w:val="00814BD4"/>
    <w:rsid w:val="008357F2"/>
    <w:rsid w:val="00841CF3"/>
    <w:rsid w:val="00941821"/>
    <w:rsid w:val="0095175A"/>
    <w:rsid w:val="00981C8A"/>
    <w:rsid w:val="009A299E"/>
    <w:rsid w:val="009E5291"/>
    <w:rsid w:val="009F1526"/>
    <w:rsid w:val="00A01234"/>
    <w:rsid w:val="00A138DF"/>
    <w:rsid w:val="00A86EDD"/>
    <w:rsid w:val="00B7612E"/>
    <w:rsid w:val="00C008B5"/>
    <w:rsid w:val="00C21355"/>
    <w:rsid w:val="00C43819"/>
    <w:rsid w:val="00C46D4E"/>
    <w:rsid w:val="00C749E4"/>
    <w:rsid w:val="00D864B3"/>
    <w:rsid w:val="00DA352E"/>
    <w:rsid w:val="00DB3343"/>
    <w:rsid w:val="00DC2661"/>
    <w:rsid w:val="00E34777"/>
    <w:rsid w:val="00E7759E"/>
    <w:rsid w:val="00E939FE"/>
    <w:rsid w:val="00EA56EB"/>
    <w:rsid w:val="00EC015E"/>
    <w:rsid w:val="00F71AB2"/>
    <w:rsid w:val="00F972FD"/>
    <w:rsid w:val="00FC6D69"/>
    <w:rsid w:val="00FE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104"/>
    <w:pPr>
      <w:spacing w:after="200" w:line="276" w:lineRule="auto"/>
    </w:pPr>
    <w:rPr>
      <w:rFonts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E35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E35AF"/>
  </w:style>
  <w:style w:type="paragraph" w:styleId="Piedepgina">
    <w:name w:val="footer"/>
    <w:basedOn w:val="Normal"/>
    <w:link w:val="PiedepginaCar"/>
    <w:uiPriority w:val="99"/>
    <w:rsid w:val="004E35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E35AF"/>
  </w:style>
  <w:style w:type="character" w:styleId="Hipervnculo">
    <w:name w:val="Hyperlink"/>
    <w:basedOn w:val="Fuentedeprrafopredeter"/>
    <w:uiPriority w:val="99"/>
    <w:rsid w:val="009F15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6742-844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7212-1130" TargetMode="External"/><Relationship Id="rId12" Type="http://schemas.openxmlformats.org/officeDocument/2006/relationships/hyperlink" Target="http://dx.do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1-7679-011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rcid.org/0000-0002-5688-54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5576-812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11</Pages>
  <Words>2768</Words>
  <Characters>17600</Characters>
  <Application>Microsoft Office Word</Application>
  <DocSecurity>0</DocSecurity>
  <Lines>146</Lines>
  <Paragraphs>40</Paragraphs>
  <ScaleCrop>false</ScaleCrop>
  <Company>Organización Nacional de Bufetes Colectivos</Company>
  <LinksUpToDate>false</LinksUpToDate>
  <CharactersWithSpaces>20328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</dc:creator>
  <cp:keywords/>
  <dc:description/>
  <cp:lastModifiedBy>Armando Salvador Escobar Rosabal</cp:lastModifiedBy>
  <cp:revision>25</cp:revision>
  <dcterms:created xsi:type="dcterms:W3CDTF">2002-05-06T20:54:00Z</dcterms:created>
  <dcterms:modified xsi:type="dcterms:W3CDTF">2023-09-21T18:05:00Z</dcterms:modified>
</cp:coreProperties>
</file>